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0D1A9">
      <w:pPr>
        <w:pStyle w:val="12"/>
        <w:spacing w:before="4"/>
        <w:ind w:left="0"/>
        <w:rPr>
          <w:rFonts w:ascii="Times New Roman"/>
          <w:sz w:val="17"/>
          <w:lang w:val="ru-RU"/>
        </w:rPr>
      </w:pPr>
    </w:p>
    <w:p w14:paraId="3E480960">
      <w:pPr>
        <w:ind w:left="3622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817370" cy="1080770"/>
            <wp:effectExtent l="0" t="0" r="0" b="0"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7690" cy="1081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C7E91">
      <w:pPr>
        <w:pStyle w:val="12"/>
        <w:spacing w:before="0"/>
        <w:ind w:left="0"/>
        <w:rPr>
          <w:rFonts w:ascii="Times New Roman"/>
          <w:sz w:val="28"/>
        </w:rPr>
      </w:pPr>
    </w:p>
    <w:p w14:paraId="4AB06095">
      <w:pPr>
        <w:pStyle w:val="12"/>
        <w:spacing w:before="0"/>
        <w:ind w:left="0"/>
        <w:rPr>
          <w:rFonts w:ascii="Times New Roman"/>
          <w:sz w:val="28"/>
        </w:rPr>
      </w:pPr>
    </w:p>
    <w:p w14:paraId="6B762126">
      <w:pPr>
        <w:pStyle w:val="12"/>
        <w:spacing w:before="0"/>
        <w:ind w:left="0"/>
        <w:rPr>
          <w:rFonts w:ascii="Times New Roman"/>
          <w:sz w:val="28"/>
        </w:rPr>
      </w:pPr>
    </w:p>
    <w:p w14:paraId="2DE293A9">
      <w:pPr>
        <w:pStyle w:val="12"/>
        <w:spacing w:before="0"/>
        <w:ind w:left="0"/>
        <w:rPr>
          <w:rFonts w:ascii="Times New Roman"/>
          <w:sz w:val="28"/>
        </w:rPr>
      </w:pPr>
    </w:p>
    <w:p w14:paraId="684780C0">
      <w:pPr>
        <w:pStyle w:val="12"/>
        <w:spacing w:before="0"/>
        <w:ind w:left="0"/>
        <w:rPr>
          <w:rFonts w:ascii="Times New Roman"/>
          <w:sz w:val="28"/>
        </w:rPr>
      </w:pPr>
    </w:p>
    <w:p w14:paraId="1A233519">
      <w:pPr>
        <w:pStyle w:val="12"/>
        <w:spacing w:before="0"/>
        <w:ind w:left="0"/>
        <w:rPr>
          <w:rFonts w:ascii="Times New Roman"/>
          <w:sz w:val="28"/>
        </w:rPr>
      </w:pPr>
    </w:p>
    <w:p w14:paraId="53B8B069">
      <w:pPr>
        <w:pStyle w:val="12"/>
        <w:spacing w:before="0"/>
        <w:ind w:left="0"/>
        <w:rPr>
          <w:rFonts w:ascii="Times New Roman"/>
          <w:sz w:val="28"/>
        </w:rPr>
      </w:pPr>
    </w:p>
    <w:p w14:paraId="6F548C0D">
      <w:pPr>
        <w:pStyle w:val="12"/>
        <w:spacing w:before="0"/>
        <w:ind w:left="0"/>
        <w:rPr>
          <w:rFonts w:ascii="Times New Roman"/>
          <w:sz w:val="28"/>
        </w:rPr>
      </w:pPr>
    </w:p>
    <w:p w14:paraId="198DBBBF">
      <w:pPr>
        <w:pStyle w:val="12"/>
        <w:spacing w:before="0"/>
        <w:ind w:left="0"/>
        <w:rPr>
          <w:rFonts w:ascii="Times New Roman"/>
          <w:sz w:val="28"/>
        </w:rPr>
      </w:pPr>
    </w:p>
    <w:p w14:paraId="6D684CF3">
      <w:pPr>
        <w:pStyle w:val="12"/>
        <w:spacing w:before="0"/>
        <w:ind w:left="0"/>
        <w:rPr>
          <w:rFonts w:ascii="Times New Roman"/>
          <w:sz w:val="28"/>
        </w:rPr>
      </w:pPr>
    </w:p>
    <w:p w14:paraId="555CF9D1">
      <w:pPr>
        <w:pStyle w:val="12"/>
        <w:spacing w:before="175"/>
        <w:ind w:left="0"/>
        <w:rPr>
          <w:rFonts w:ascii="Times New Roman"/>
          <w:sz w:val="28"/>
        </w:rPr>
      </w:pPr>
    </w:p>
    <w:p w14:paraId="789B55AA">
      <w:pPr>
        <w:pStyle w:val="12"/>
        <w:spacing w:before="0"/>
        <w:ind w:left="0"/>
        <w:jc w:val="center"/>
        <w:rPr>
          <w:rFonts w:ascii="Arial"/>
          <w:b/>
          <w:sz w:val="28"/>
          <w:lang w:val="ru-RU"/>
        </w:rPr>
      </w:pPr>
      <w:r>
        <w:rPr>
          <w:rFonts w:ascii="Arial"/>
          <w:b/>
          <w:bCs/>
          <w:sz w:val="28"/>
          <w:lang w:val="ru-RU"/>
        </w:rPr>
        <w:t xml:space="preserve">ПЕРЕХОДНЫЕ ТРЕБОВАНИЯ ДЛЯ </w:t>
      </w:r>
      <w:r>
        <w:rPr>
          <w:rFonts w:ascii="Arial"/>
          <w:b/>
          <w:bCs/>
          <w:sz w:val="28"/>
        </w:rPr>
        <w:t>ISO</w:t>
      </w:r>
      <w:r>
        <w:rPr>
          <w:rFonts w:ascii="Arial"/>
          <w:b/>
          <w:bCs/>
          <w:sz w:val="28"/>
          <w:lang w:val="ru-RU"/>
        </w:rPr>
        <w:t>/</w:t>
      </w:r>
      <w:r>
        <w:rPr>
          <w:rFonts w:ascii="Arial"/>
          <w:b/>
          <w:bCs/>
          <w:sz w:val="28"/>
        </w:rPr>
        <w:t>IEC</w:t>
      </w:r>
      <w:r>
        <w:rPr>
          <w:rFonts w:ascii="Arial"/>
          <w:b/>
          <w:bCs/>
          <w:sz w:val="28"/>
          <w:lang w:val="ru-RU"/>
        </w:rPr>
        <w:t xml:space="preserve"> 17024:2026</w:t>
      </w:r>
    </w:p>
    <w:p w14:paraId="7A3248F9">
      <w:pPr>
        <w:pStyle w:val="12"/>
        <w:spacing w:before="0"/>
        <w:ind w:left="0"/>
        <w:rPr>
          <w:rFonts w:ascii="Arial"/>
          <w:b/>
          <w:sz w:val="28"/>
          <w:lang w:val="ru-RU"/>
        </w:rPr>
      </w:pPr>
    </w:p>
    <w:p w14:paraId="76268026">
      <w:pPr>
        <w:pStyle w:val="12"/>
        <w:spacing w:before="0"/>
        <w:ind w:left="0"/>
        <w:rPr>
          <w:rFonts w:ascii="Arial"/>
          <w:b/>
          <w:sz w:val="28"/>
          <w:lang w:val="ru-RU"/>
        </w:rPr>
      </w:pPr>
    </w:p>
    <w:p w14:paraId="3E0F3036">
      <w:pPr>
        <w:pStyle w:val="12"/>
        <w:spacing w:before="0"/>
        <w:ind w:left="0"/>
        <w:rPr>
          <w:rFonts w:ascii="Arial"/>
          <w:b/>
          <w:sz w:val="28"/>
          <w:lang w:val="ru-RU"/>
        </w:rPr>
      </w:pPr>
    </w:p>
    <w:p w14:paraId="67B94B93">
      <w:pPr>
        <w:pStyle w:val="12"/>
        <w:spacing w:before="0"/>
        <w:ind w:left="0"/>
        <w:rPr>
          <w:rFonts w:ascii="Arial"/>
          <w:b/>
          <w:sz w:val="28"/>
          <w:lang w:val="ru-RU"/>
        </w:rPr>
      </w:pPr>
    </w:p>
    <w:p w14:paraId="4A953CF0">
      <w:pPr>
        <w:pStyle w:val="12"/>
        <w:spacing w:before="0"/>
        <w:ind w:left="0"/>
        <w:rPr>
          <w:rFonts w:ascii="Arial"/>
          <w:b/>
          <w:sz w:val="28"/>
          <w:lang w:val="ru-RU"/>
        </w:rPr>
      </w:pPr>
    </w:p>
    <w:p w14:paraId="5A4FAAAA">
      <w:pPr>
        <w:pStyle w:val="12"/>
        <w:spacing w:before="0"/>
        <w:ind w:left="0"/>
        <w:rPr>
          <w:rFonts w:ascii="Arial"/>
          <w:b/>
          <w:sz w:val="28"/>
          <w:lang w:val="ru-RU"/>
        </w:rPr>
      </w:pPr>
    </w:p>
    <w:p w14:paraId="3D530FAE">
      <w:pPr>
        <w:pStyle w:val="12"/>
        <w:spacing w:before="0"/>
        <w:ind w:left="0"/>
        <w:rPr>
          <w:rFonts w:ascii="Arial"/>
          <w:b/>
          <w:sz w:val="28"/>
          <w:lang w:val="ru-RU"/>
        </w:rPr>
      </w:pPr>
    </w:p>
    <w:p w14:paraId="368D4A79">
      <w:pPr>
        <w:pStyle w:val="12"/>
        <w:spacing w:before="0"/>
        <w:ind w:left="0"/>
        <w:rPr>
          <w:rFonts w:ascii="Arial"/>
          <w:b/>
          <w:sz w:val="28"/>
          <w:lang w:val="ru-RU"/>
        </w:rPr>
      </w:pPr>
    </w:p>
    <w:p w14:paraId="656EC9A3">
      <w:pPr>
        <w:pStyle w:val="12"/>
        <w:spacing w:before="0"/>
        <w:ind w:left="0"/>
        <w:rPr>
          <w:rFonts w:ascii="Arial"/>
          <w:b/>
          <w:sz w:val="28"/>
          <w:lang w:val="ru-RU"/>
        </w:rPr>
      </w:pPr>
    </w:p>
    <w:p w14:paraId="663A6F91">
      <w:pPr>
        <w:pStyle w:val="12"/>
        <w:spacing w:before="0"/>
        <w:ind w:left="0"/>
        <w:rPr>
          <w:rFonts w:ascii="Arial"/>
          <w:b/>
          <w:sz w:val="28"/>
          <w:lang w:val="ru-RU"/>
        </w:rPr>
      </w:pPr>
    </w:p>
    <w:p w14:paraId="6AD70974">
      <w:pPr>
        <w:pStyle w:val="12"/>
        <w:spacing w:before="0"/>
        <w:ind w:left="0"/>
        <w:rPr>
          <w:rFonts w:ascii="Arial"/>
          <w:b/>
          <w:sz w:val="28"/>
          <w:lang w:val="ru-RU"/>
        </w:rPr>
      </w:pPr>
    </w:p>
    <w:p w14:paraId="5692AA0A">
      <w:pPr>
        <w:pStyle w:val="12"/>
        <w:spacing w:before="0"/>
        <w:ind w:left="0"/>
        <w:rPr>
          <w:rFonts w:ascii="Arial"/>
          <w:b/>
          <w:sz w:val="28"/>
          <w:lang w:val="ru-RU"/>
        </w:rPr>
      </w:pPr>
    </w:p>
    <w:p w14:paraId="5392280F">
      <w:pPr>
        <w:pStyle w:val="12"/>
        <w:spacing w:before="0"/>
        <w:ind w:left="0"/>
        <w:rPr>
          <w:rFonts w:ascii="Arial"/>
          <w:b/>
          <w:sz w:val="28"/>
          <w:lang w:val="ru-RU"/>
        </w:rPr>
      </w:pPr>
    </w:p>
    <w:p w14:paraId="2917ACE7">
      <w:pPr>
        <w:pStyle w:val="12"/>
        <w:spacing w:before="124"/>
        <w:ind w:left="0"/>
        <w:rPr>
          <w:rFonts w:ascii="Arial"/>
          <w:b/>
          <w:sz w:val="28"/>
          <w:lang w:val="ru-RU"/>
        </w:rPr>
      </w:pPr>
    </w:p>
    <w:p w14:paraId="2E2C270B">
      <w:pPr>
        <w:rPr>
          <w:sz w:val="24"/>
          <w:lang w:val="ru-RU"/>
        </w:rPr>
      </w:pPr>
      <w:r>
        <w:rPr>
          <w:b/>
          <w:bCs/>
          <w:sz w:val="24"/>
          <w:lang w:val="ru-RU"/>
        </w:rPr>
        <w:t>Дата выпуска:</w:t>
      </w:r>
      <w:r>
        <w:rPr>
          <w:sz w:val="24"/>
          <w:lang w:val="ru-RU"/>
        </w:rPr>
        <w:t xml:space="preserve"> 4 сентября 2026 г.</w:t>
      </w:r>
    </w:p>
    <w:p w14:paraId="6EE29B19">
      <w:pPr>
        <w:rPr>
          <w:sz w:val="24"/>
          <w:lang w:val="ru-RU"/>
        </w:rPr>
      </w:pPr>
      <w:r>
        <w:rPr>
          <w:b/>
          <w:bCs/>
          <w:sz w:val="24"/>
          <w:lang w:val="ru-RU"/>
        </w:rPr>
        <w:t>Дата введения в действие:</w:t>
      </w:r>
      <w:r>
        <w:rPr>
          <w:sz w:val="24"/>
          <w:lang w:val="ru-RU"/>
        </w:rPr>
        <w:t xml:space="preserve"> 9 сентября 2026 г.</w:t>
      </w:r>
    </w:p>
    <w:p w14:paraId="06650094">
      <w:pPr>
        <w:rPr>
          <w:sz w:val="24"/>
          <w:lang w:val="ru-RU"/>
        </w:rPr>
      </w:pPr>
      <w:r>
        <w:rPr>
          <w:b/>
          <w:bCs/>
          <w:sz w:val="24"/>
          <w:lang w:val="ru-RU"/>
        </w:rPr>
        <w:t>Номер версии:</w:t>
      </w:r>
      <w:r>
        <w:rPr>
          <w:sz w:val="24"/>
          <w:lang w:val="ru-RU"/>
        </w:rPr>
        <w:t xml:space="preserve"> 1.0</w:t>
      </w:r>
    </w:p>
    <w:p w14:paraId="7026284E">
      <w:pPr>
        <w:rPr>
          <w:sz w:val="24"/>
          <w:lang w:val="ru-RU"/>
        </w:rPr>
        <w:sectPr>
          <w:footerReference r:id="rId3" w:type="default"/>
          <w:type w:val="continuous"/>
          <w:pgSz w:w="12240" w:h="15840"/>
          <w:pgMar w:top="1820" w:right="720" w:bottom="1000" w:left="1080" w:header="0" w:footer="818" w:gutter="0"/>
          <w:pgNumType w:start="1"/>
          <w:cols w:space="720" w:num="1"/>
        </w:sectPr>
      </w:pPr>
    </w:p>
    <w:p w14:paraId="61DAA917">
      <w:pPr>
        <w:pStyle w:val="12"/>
        <w:rPr>
          <w:lang w:val="ru-RU"/>
        </w:rPr>
      </w:pPr>
      <w:r>
        <w:rPr>
          <w:b/>
          <w:bCs/>
          <w:lang w:val="ru-RU"/>
        </w:rPr>
        <w:t>ДОПОЛНИТЕЛЬНАЯ ИНФОРМАЦИЯ</w:t>
      </w:r>
    </w:p>
    <w:p w14:paraId="1C95C73A">
      <w:pPr>
        <w:pStyle w:val="12"/>
        <w:rPr>
          <w:lang w:val="ru-RU"/>
        </w:rPr>
      </w:pPr>
      <w:r>
        <w:rPr>
          <w:lang w:val="ru-RU"/>
        </w:rPr>
        <w:t>Для получения дополнительной информации по настоящему документу или другим документам Global Accreditation Cooperation Incorporated (Global ACI) обращайтесь в Секретариат Global ACI.</w:t>
      </w:r>
    </w:p>
    <w:p w14:paraId="3908B6D1">
      <w:pPr>
        <w:pStyle w:val="12"/>
        <w:rPr>
          <w:lang w:val="ru-RU"/>
        </w:rPr>
      </w:pPr>
      <w:r>
        <w:rPr>
          <w:b/>
          <w:bCs/>
          <w:lang w:val="ru-RU"/>
        </w:rPr>
        <w:t>Электронная почта:</w:t>
      </w:r>
      <w:r>
        <w:rPr>
          <w:lang w:val="ru-RU"/>
        </w:rPr>
        <w:t xml:space="preserve"> </w:t>
      </w:r>
      <w:r>
        <w:fldChar w:fldCharType="begin"/>
      </w:r>
      <w:r>
        <w:instrText xml:space="preserve"> HYPERLINK "mailto:secretariat@global-aci.org" </w:instrText>
      </w:r>
      <w:r>
        <w:fldChar w:fldCharType="separate"/>
      </w:r>
      <w:r>
        <w:rPr>
          <w:rStyle w:val="9"/>
          <w:lang w:val="ru-RU"/>
        </w:rPr>
        <w:t>secretariat@global-aci.org</w:t>
      </w:r>
      <w:r>
        <w:rPr>
          <w:rStyle w:val="9"/>
          <w:lang w:val="ru-RU"/>
        </w:rPr>
        <w:fldChar w:fldCharType="end"/>
      </w:r>
      <w:r>
        <w:rPr>
          <w:lang w:val="ru-RU"/>
        </w:rPr>
        <w:br w:type="textWrapping"/>
      </w:r>
      <w:r>
        <w:rPr>
          <w:b/>
          <w:bCs/>
          <w:lang w:val="ru-RU"/>
        </w:rPr>
        <w:t>Телефон:</w:t>
      </w:r>
      <w:r>
        <w:rPr>
          <w:lang w:val="ru-RU"/>
        </w:rPr>
        <w:t xml:space="preserve"> +1 (571) 569-2614</w:t>
      </w:r>
    </w:p>
    <w:p w14:paraId="1E5A32FD">
      <w:pPr>
        <w:pStyle w:val="12"/>
        <w:rPr>
          <w:lang w:val="ru-RU"/>
        </w:rPr>
      </w:pPr>
      <w:r>
        <w:rPr>
          <w:b/>
          <w:bCs/>
          <w:lang w:val="ru-RU"/>
        </w:rPr>
        <w:t>© Авторское право, 2026 г.</w:t>
      </w:r>
    </w:p>
    <w:p w14:paraId="0562DD32">
      <w:pPr>
        <w:pStyle w:val="12"/>
        <w:rPr>
          <w:lang w:val="ru-RU"/>
        </w:rPr>
      </w:pPr>
      <w:r>
        <w:rPr>
          <w:lang w:val="ru-RU"/>
        </w:rPr>
        <w:t>Global ACI разрешает воспроизведение своих публикаций или их частей организациям, желающим использовать такие материалы в целях, связанных с образованием, стандартизацией, аккредитацией или иными целями, относящимися к сфере компетенции или деятельности Global ACI.</w:t>
      </w:r>
    </w:p>
    <w:p w14:paraId="3CCC6D01">
      <w:pPr>
        <w:pStyle w:val="12"/>
        <w:rPr>
          <w:lang w:val="ru-RU"/>
        </w:rPr>
      </w:pPr>
      <w:r>
        <w:rPr>
          <w:lang w:val="ru-RU"/>
        </w:rPr>
        <w:t>В документе, содержащем воспроизведённый материал, должно быть приведено заявление с указанием вклада Global ACI в данный документ.</w:t>
      </w:r>
    </w:p>
    <w:p w14:paraId="4D47F6C4">
      <w:pPr>
        <w:pStyle w:val="12"/>
        <w:rPr>
          <w:lang w:val="ru-RU"/>
        </w:rPr>
        <w:sectPr>
          <w:headerReference r:id="rId4" w:type="default"/>
          <w:footerReference r:id="rId5" w:type="default"/>
          <w:pgSz w:w="12240" w:h="15840"/>
          <w:pgMar w:top="1620" w:right="720" w:bottom="1000" w:left="1080" w:header="573" w:footer="818" w:gutter="0"/>
          <w:pgNumType w:start="2"/>
          <w:cols w:space="720" w:num="1"/>
        </w:sectPr>
      </w:pPr>
    </w:p>
    <w:p w14:paraId="5CD2ADF8">
      <w:pPr>
        <w:pStyle w:val="12"/>
        <w:spacing w:before="240"/>
        <w:ind w:left="0"/>
        <w:rPr>
          <w:sz w:val="28"/>
          <w:lang w:val="ru-RU"/>
        </w:rPr>
      </w:pPr>
    </w:p>
    <w:p w14:paraId="472C5A51">
      <w:pPr>
        <w:spacing w:before="1"/>
        <w:ind w:left="203" w:right="564"/>
        <w:jc w:val="center"/>
        <w:rPr>
          <w:rFonts w:ascii="Arial"/>
          <w:b/>
          <w:spacing w:val="-2"/>
          <w:sz w:val="28"/>
          <w:lang w:val="ru-RU"/>
        </w:rPr>
      </w:pPr>
      <w:r>
        <w:rPr>
          <w:rFonts w:ascii="Arial"/>
          <w:b/>
          <w:bCs/>
          <w:spacing w:val="-2"/>
          <w:sz w:val="28"/>
          <w:lang w:val="ru-RU"/>
        </w:rPr>
        <w:t>СОДЕРЖАНИЕ</w:t>
      </w:r>
    </w:p>
    <w:p w14:paraId="1FABA0AB">
      <w:pPr>
        <w:rPr>
          <w:lang w:val="ru-RU"/>
        </w:rPr>
      </w:pPr>
    </w:p>
    <w:p w14:paraId="64E920A0">
      <w:pPr>
        <w:numPr>
          <w:ilvl w:val="0"/>
          <w:numId w:val="1"/>
        </w:numPr>
        <w:rPr>
          <w:b/>
          <w:bCs/>
          <w:lang w:val="ru-RU"/>
        </w:rPr>
      </w:pPr>
      <w:r>
        <w:rPr>
          <w:b/>
          <w:bCs/>
          <w:lang w:val="ru-RU"/>
        </w:rPr>
        <w:t>ВВЕДЕНИЕ ................................................................................................................... 4</w:t>
      </w:r>
    </w:p>
    <w:p w14:paraId="5E959575">
      <w:pPr>
        <w:numPr>
          <w:ilvl w:val="0"/>
          <w:numId w:val="1"/>
        </w:numPr>
        <w:rPr>
          <w:b/>
          <w:bCs/>
          <w:lang w:val="ru-RU"/>
        </w:rPr>
      </w:pPr>
      <w:r>
        <w:rPr>
          <w:b/>
          <w:bCs/>
          <w:lang w:val="ru-RU"/>
        </w:rPr>
        <w:t>ПЕРЕХОДНЫЕ ТРЕБОВАНИЯ ДЛЯ: ............................................................................. 4</w:t>
      </w:r>
    </w:p>
    <w:p w14:paraId="2B938298">
      <w:pPr>
        <w:numPr>
          <w:ilvl w:val="0"/>
          <w:numId w:val="1"/>
        </w:numPr>
        <w:rPr>
          <w:b/>
          <w:bCs/>
          <w:lang w:val="ru-RU"/>
        </w:rPr>
      </w:pPr>
      <w:r>
        <w:rPr>
          <w:b/>
          <w:bCs/>
          <w:lang w:val="ru-RU"/>
        </w:rPr>
        <w:t>КРАТКОЕ ОПИСАНИЕ ОСНОВНЫХ ИЗМЕНЕНИЙ ......................................................... 4</w:t>
      </w:r>
    </w:p>
    <w:p w14:paraId="5505D9EF">
      <w:pPr>
        <w:numPr>
          <w:ilvl w:val="0"/>
          <w:numId w:val="1"/>
        </w:numPr>
        <w:rPr>
          <w:b/>
          <w:bCs/>
          <w:lang w:val="ru-RU"/>
        </w:rPr>
      </w:pPr>
      <w:r>
        <w:rPr>
          <w:b/>
          <w:bCs/>
          <w:lang w:val="ru-RU"/>
        </w:rPr>
        <w:t>ОСНОВНЫЕ СРОКИ ....................................................................................................... 5</w:t>
      </w:r>
    </w:p>
    <w:p w14:paraId="5C86820F">
      <w:pPr>
        <w:numPr>
          <w:ilvl w:val="0"/>
          <w:numId w:val="1"/>
        </w:numPr>
        <w:rPr>
          <w:b/>
          <w:bCs/>
          <w:lang w:val="ru-RU"/>
        </w:rPr>
      </w:pPr>
      <w:r>
        <w:rPr>
          <w:b/>
          <w:bCs/>
          <w:lang w:val="ru-RU"/>
        </w:rPr>
        <w:t>ПРОЦЕСС ПЕРЕХОДА ................................................................................................... 5</w:t>
      </w:r>
    </w:p>
    <w:p w14:paraId="2F386A4B">
      <w:pPr>
        <w:numPr>
          <w:ilvl w:val="0"/>
          <w:numId w:val="1"/>
        </w:numPr>
        <w:rPr>
          <w:b/>
          <w:bCs/>
          <w:lang w:val="ru-RU"/>
        </w:rPr>
      </w:pPr>
      <w:r>
        <w:rPr>
          <w:b/>
          <w:bCs/>
          <w:lang w:val="ru-RU"/>
        </w:rPr>
        <w:t>ПРОЧЕЕ .......................................................................................................................... 8</w:t>
      </w:r>
    </w:p>
    <w:p w14:paraId="225287DB">
      <w:pPr>
        <w:numPr>
          <w:ilvl w:val="0"/>
          <w:numId w:val="1"/>
        </w:numPr>
        <w:rPr>
          <w:b/>
          <w:bCs/>
          <w:lang w:val="ru-RU"/>
        </w:rPr>
      </w:pPr>
      <w:r>
        <w:rPr>
          <w:b/>
          <w:bCs/>
          <w:lang w:val="ru-RU"/>
        </w:rPr>
        <w:t>ТАБЛИЦА ПОПРАВОК / ИЗМЕНЕНИЙ ............................................................................ 8</w:t>
      </w:r>
      <w:r>
        <w:rPr>
          <w:b/>
          <w:bCs/>
          <w:lang w:val="ru-RU"/>
        </w:rPr>
        <w:br w:type="textWrapping"/>
      </w:r>
      <w:r>
        <w:rPr>
          <w:b/>
          <w:bCs/>
          <w:lang w:val="ru-RU"/>
        </w:rPr>
        <w:t>ПРИЛОЖЕНИЕ А ................................................................................................................... 9</w:t>
      </w:r>
    </w:p>
    <w:p w14:paraId="21DA28DF">
      <w:pPr>
        <w:rPr>
          <w:lang w:val="ru-RU"/>
        </w:rPr>
      </w:pPr>
    </w:p>
    <w:p w14:paraId="0D87AD35">
      <w:pPr>
        <w:rPr>
          <w:lang w:val="ru-RU"/>
        </w:rPr>
        <w:sectPr>
          <w:pgSz w:w="12240" w:h="15840"/>
          <w:pgMar w:top="1620" w:right="720" w:bottom="1000" w:left="1080" w:header="573" w:footer="818" w:gutter="0"/>
          <w:cols w:space="720" w:num="1"/>
        </w:sectPr>
      </w:pPr>
    </w:p>
    <w:p w14:paraId="2EA267BA">
      <w:pPr>
        <w:pStyle w:val="2"/>
        <w:ind w:firstLine="79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1. ВВЕДЕНИЕ</w:t>
      </w:r>
    </w:p>
    <w:p w14:paraId="2119D92C">
      <w:pPr>
        <w:pStyle w:val="2"/>
        <w:ind w:firstLine="79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1.1 Назначение:</w:t>
      </w:r>
    </w:p>
    <w:p w14:paraId="27721234">
      <w:pPr>
        <w:pStyle w:val="2"/>
        <w:ind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Документы, устанавливающие переходные требования к нормативным документам, должны рассматриваться как обязательные документы для органов по аккредитации (ОА), являющихся подписантами Многостороннего соглашения о взаимном признании (MRA) Global Accreditation Cooperation Incorporated (Global ACI), а также для аккредитованных органов по оценке соответствия (ООС), в пределах области применения, установленной настоящим документом.</w:t>
      </w:r>
    </w:p>
    <w:p w14:paraId="5E31213E">
      <w:pPr>
        <w:pStyle w:val="2"/>
        <w:ind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Настоящий документ разработан назначенной рабочей группой Global ACI в соответствии с документом Global ACI-TECH-3-018 «Требования к разработке обязательных документов по вопросам перехода».</w:t>
      </w:r>
    </w:p>
    <w:p w14:paraId="114FE2DA">
      <w:pPr>
        <w:pStyle w:val="2"/>
        <w:ind w:firstLine="79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1.2 Область применения:</w:t>
      </w:r>
    </w:p>
    <w:p w14:paraId="1DD524E3">
      <w:pPr>
        <w:pStyle w:val="2"/>
        <w:ind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Настоящий документ содержит информацию о переходе с ISO/IEC 17024:2012 на ISO/IEC 17024:2026.</w:t>
      </w:r>
    </w:p>
    <w:p w14:paraId="14F4D862">
      <w:pPr>
        <w:pStyle w:val="2"/>
        <w:ind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Настоящий документ является обязательным для всех органов по аккредитации — подписантов MRA Global ACI, а также для аккредитованных органов по оценке соответствия.</w:t>
      </w:r>
    </w:p>
    <w:p w14:paraId="602FBAF2">
      <w:pPr>
        <w:pStyle w:val="2"/>
        <w:ind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</w:p>
    <w:p w14:paraId="101DD8C2">
      <w:pPr>
        <w:pStyle w:val="2"/>
        <w:ind w:firstLine="79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2. ПЕРЕХОДНЫЕ ТРЕБОВАНИЯ ДЛЯ:</w:t>
      </w:r>
    </w:p>
    <w:p w14:paraId="6EBB6787">
      <w:pPr>
        <w:pStyle w:val="2"/>
        <w:ind w:firstLine="79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</w:p>
    <w:tbl>
      <w:tblPr>
        <w:tblStyle w:val="18"/>
        <w:tblW w:w="0" w:type="auto"/>
        <w:tblInd w:w="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7"/>
        <w:gridCol w:w="6437"/>
      </w:tblGrid>
      <w:tr w14:paraId="11822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7" w:type="dxa"/>
          </w:tcPr>
          <w:p w14:paraId="4C726B28">
            <w:pPr>
              <w:pStyle w:val="2"/>
              <w:ind w:left="0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ru-RU"/>
              </w:rPr>
              <w:t>Нормативный документ: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ru-RU"/>
              </w:rPr>
              <w:br w:type="textWrapping"/>
            </w:r>
          </w:p>
        </w:tc>
        <w:tc>
          <w:tcPr>
            <w:tcW w:w="6437" w:type="dxa"/>
          </w:tcPr>
          <w:p w14:paraId="5C85BBCA">
            <w:pPr>
              <w:pStyle w:val="2"/>
              <w:ind w:left="0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ru-RU"/>
              </w:rPr>
              <w:t>ISO/IEC 17024:2026</w:t>
            </w:r>
          </w:p>
        </w:tc>
      </w:tr>
      <w:tr w14:paraId="00B7D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7" w:type="dxa"/>
          </w:tcPr>
          <w:p w14:paraId="484E1103">
            <w:pPr>
              <w:pStyle w:val="2"/>
              <w:ind w:left="0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ru-RU"/>
              </w:rPr>
              <w:t>Заменяет: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ru-RU"/>
              </w:rPr>
              <w:br w:type="textWrapping"/>
            </w:r>
          </w:p>
        </w:tc>
        <w:tc>
          <w:tcPr>
            <w:tcW w:w="6437" w:type="dxa"/>
          </w:tcPr>
          <w:p w14:paraId="75EF846A">
            <w:pPr>
              <w:pStyle w:val="2"/>
              <w:ind w:left="0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ru-RU"/>
              </w:rPr>
              <w:t>ISO/IEC 17024:2012</w:t>
            </w:r>
          </w:p>
        </w:tc>
      </w:tr>
      <w:tr w14:paraId="44284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7" w:type="dxa"/>
          </w:tcPr>
          <w:p w14:paraId="28F3E796">
            <w:pPr>
              <w:pStyle w:val="2"/>
              <w:ind w:left="0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Текущий статус (на момент публикации документа):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br w:type="textWrapping"/>
            </w:r>
          </w:p>
        </w:tc>
        <w:tc>
          <w:tcPr>
            <w:tcW w:w="6437" w:type="dxa"/>
          </w:tcPr>
          <w:p w14:paraId="30082961">
            <w:pPr>
              <w:pStyle w:val="2"/>
              <w:ind w:left="0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Международный стандарт опубликован 31 марта 2026 года</w:t>
            </w:r>
          </w:p>
        </w:tc>
      </w:tr>
      <w:tr w14:paraId="59D55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7" w:type="dxa"/>
          </w:tcPr>
          <w:p w14:paraId="579D11CC">
            <w:pPr>
              <w:pStyle w:val="2"/>
              <w:ind w:left="0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ru-RU"/>
              </w:rPr>
              <w:t>Переходный период: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ru-RU"/>
              </w:rPr>
              <w:br w:type="textWrapping"/>
            </w:r>
          </w:p>
        </w:tc>
        <w:tc>
          <w:tcPr>
            <w:tcW w:w="6437" w:type="dxa"/>
          </w:tcPr>
          <w:p w14:paraId="3FC09308">
            <w:pPr>
              <w:pStyle w:val="2"/>
              <w:ind w:left="0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ru-RU"/>
              </w:rPr>
              <w:t>3 года</w:t>
            </w:r>
          </w:p>
        </w:tc>
      </w:tr>
    </w:tbl>
    <w:p w14:paraId="12365570">
      <w:pPr>
        <w:pStyle w:val="2"/>
        <w:ind w:left="0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</w:p>
    <w:p w14:paraId="0392F226">
      <w:pPr>
        <w:pStyle w:val="2"/>
        <w:ind w:firstLine="79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3. КРАТКОЕ ОПИСАНИЕ ОСНОВНЫХ ИЗМЕНЕНИЙ</w:t>
      </w:r>
    </w:p>
    <w:p w14:paraId="65B237B9">
      <w:pPr>
        <w:pStyle w:val="2"/>
        <w:numPr>
          <w:ilvl w:val="0"/>
          <w:numId w:val="2"/>
        </w:numPr>
        <w:tabs>
          <w:tab w:val="left" w:pos="1134"/>
        </w:tabs>
        <w:ind w:left="52"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Добавлен новый пункт 6.5: «Использование искусственного интеллекта (ИИ) в процессе сертификации».</w:t>
      </w:r>
    </w:p>
    <w:p w14:paraId="1C784B32">
      <w:pPr>
        <w:pStyle w:val="2"/>
        <w:numPr>
          <w:ilvl w:val="0"/>
          <w:numId w:val="2"/>
        </w:numPr>
        <w:tabs>
          <w:tab w:val="left" w:pos="1134"/>
        </w:tabs>
        <w:ind w:left="52"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Анализ со стороны руководства — проводится ежегодно (вместо формулировки «каждые 12 месяцев»).</w:t>
      </w:r>
    </w:p>
    <w:p w14:paraId="2F82A88B">
      <w:pPr>
        <w:pStyle w:val="2"/>
        <w:numPr>
          <w:ilvl w:val="0"/>
          <w:numId w:val="2"/>
        </w:numPr>
        <w:tabs>
          <w:tab w:val="left" w:pos="1134"/>
        </w:tabs>
        <w:ind w:left="52"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Внутренний аудит — проводится ежегодно (вместо формулировки «каждые 12 месяцев»).</w:t>
      </w:r>
    </w:p>
    <w:p w14:paraId="4288AD32">
      <w:pPr>
        <w:pStyle w:val="2"/>
        <w:numPr>
          <w:ilvl w:val="0"/>
          <w:numId w:val="2"/>
        </w:numPr>
        <w:tabs>
          <w:tab w:val="left" w:pos="1134"/>
        </w:tabs>
        <w:ind w:left="52"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Обеспечение последовательного применения документированных процедур и процессов.</w:t>
      </w:r>
    </w:p>
    <w:p w14:paraId="106922B2">
      <w:pPr>
        <w:pStyle w:val="2"/>
        <w:numPr>
          <w:ilvl w:val="0"/>
          <w:numId w:val="2"/>
        </w:numPr>
        <w:tabs>
          <w:tab w:val="left" w:pos="1134"/>
        </w:tabs>
        <w:ind w:left="52"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Предварительные условия для подачи заявки и предварительные условия для сертификации.</w:t>
      </w:r>
    </w:p>
    <w:p w14:paraId="2C64BDBD">
      <w:pPr>
        <w:pStyle w:val="2"/>
        <w:numPr>
          <w:ilvl w:val="0"/>
          <w:numId w:val="2"/>
        </w:numPr>
        <w:tabs>
          <w:tab w:val="left" w:pos="1134"/>
        </w:tabs>
        <w:ind w:left="52"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Добавлено новое приложение, разъясняющее взаимосвязь между деятельностью по сертификации, процессом сертификации, оцениванием, экзаменом и схемой сертификации.</w:t>
      </w:r>
    </w:p>
    <w:p w14:paraId="2FCFC28B">
      <w:pPr>
        <w:pStyle w:val="2"/>
        <w:numPr>
          <w:ilvl w:val="0"/>
          <w:numId w:val="2"/>
        </w:numPr>
        <w:tabs>
          <w:tab w:val="left" w:pos="1134"/>
        </w:tabs>
        <w:ind w:left="52"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Добавлено определение термина «прокторинг (invigilation)» — контроль/надзор за проведением экзамена.</w:t>
      </w:r>
    </w:p>
    <w:p w14:paraId="506721E4">
      <w:pPr>
        <w:pStyle w:val="2"/>
        <w:numPr>
          <w:ilvl w:val="0"/>
          <w:numId w:val="2"/>
        </w:numPr>
        <w:tabs>
          <w:tab w:val="left" w:pos="1134"/>
        </w:tabs>
        <w:ind w:left="52"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Введены дополнительные требования к то</w:t>
      </w:r>
      <w:bookmarkStart w:id="0" w:name="_GoBack"/>
      <w:bookmarkEnd w:id="0"/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чности и единообразию перевода.</w:t>
      </w:r>
    </w:p>
    <w:p w14:paraId="1F8C080A">
      <w:pPr>
        <w:pStyle w:val="2"/>
        <w:numPr>
          <w:ilvl w:val="0"/>
          <w:numId w:val="2"/>
        </w:numPr>
        <w:tabs>
          <w:tab w:val="left" w:pos="1134"/>
        </w:tabs>
        <w:ind w:left="52"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В пункт 9.3.1 внесены изменения, касающиеся равноправия (Equity).</w:t>
      </w:r>
    </w:p>
    <w:p w14:paraId="5A1D23CD">
      <w:pPr>
        <w:pStyle w:val="2"/>
        <w:numPr>
          <w:ilvl w:val="0"/>
          <w:numId w:val="2"/>
        </w:numPr>
        <w:tabs>
          <w:tab w:val="left" w:pos="1134"/>
        </w:tabs>
        <w:ind w:left="52"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Пункт 9.6.5 — изменения, касающиеся повторной сертификации: самодекларация не принимается.</w:t>
      </w:r>
    </w:p>
    <w:p w14:paraId="2AF343D8">
      <w:pPr>
        <w:pStyle w:val="2"/>
        <w:numPr>
          <w:ilvl w:val="0"/>
          <w:numId w:val="2"/>
        </w:numPr>
        <w:tabs>
          <w:tab w:val="left" w:pos="1134"/>
        </w:tabs>
        <w:ind w:left="52"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Актуализированы требования к системам менеджмента.</w:t>
      </w:r>
    </w:p>
    <w:p w14:paraId="517E7D2D">
      <w:pPr>
        <w:pStyle w:val="2"/>
        <w:numPr>
          <w:ilvl w:val="0"/>
          <w:numId w:val="2"/>
        </w:numPr>
        <w:tabs>
          <w:tab w:val="left" w:pos="1134"/>
        </w:tabs>
        <w:ind w:left="52"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Превентивные действия заменены подходом, основанным на рассмотрении рисков и возможностей.</w:t>
      </w:r>
    </w:p>
    <w:p w14:paraId="7C94FAAA">
      <w:pPr>
        <w:pStyle w:val="2"/>
        <w:numPr>
          <w:ilvl w:val="0"/>
          <w:numId w:val="2"/>
        </w:numPr>
        <w:tabs>
          <w:tab w:val="left" w:pos="1134"/>
        </w:tabs>
        <w:ind w:left="52"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Добавлена процедура восстановления решения о сертификации (Reinstate decision).</w:t>
      </w:r>
    </w:p>
    <w:p w14:paraId="2ABD38DF">
      <w:pPr>
        <w:pStyle w:val="2"/>
        <w:tabs>
          <w:tab w:val="left" w:pos="1134"/>
        </w:tabs>
        <w:ind w:left="0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</w:p>
    <w:p w14:paraId="187778B6">
      <w:pPr>
        <w:pStyle w:val="2"/>
        <w:ind w:firstLine="79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 КЛЮЧЕВЫЕ СРОКИ ПЕРЕХОДА</w:t>
      </w:r>
    </w:p>
    <w:tbl>
      <w:tblPr>
        <w:tblStyle w:val="18"/>
        <w:tblW w:w="0" w:type="auto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36"/>
        <w:gridCol w:w="5128"/>
      </w:tblGrid>
      <w:tr w14:paraId="73F54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6" w:type="dxa"/>
            <w:vAlign w:val="center"/>
          </w:tcPr>
          <w:p w14:paraId="46355457">
            <w:pPr>
              <w:pStyle w:val="2"/>
              <w:ind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Style w:val="10"/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5128" w:type="dxa"/>
            <w:vAlign w:val="center"/>
          </w:tcPr>
          <w:p w14:paraId="06F15923">
            <w:pPr>
              <w:pStyle w:val="2"/>
              <w:ind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Style w:val="10"/>
                <w:rFonts w:ascii="Times New Roman" w:hAnsi="Times New Roman" w:cs="Times New Roman"/>
                <w:b/>
                <w:bCs/>
                <w:sz w:val="24"/>
                <w:szCs w:val="24"/>
              </w:rPr>
              <w:t>Крайний срок</w:t>
            </w:r>
          </w:p>
        </w:tc>
      </w:tr>
      <w:tr w14:paraId="514DB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6" w:type="dxa"/>
            <w:vAlign w:val="center"/>
          </w:tcPr>
          <w:p w14:paraId="2442EE44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Орган по аккредитации (ОА) должен быть готов оценивать соответствие новой версии </w:t>
            </w: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ISO</w:t>
            </w: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/</w:t>
            </w: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IEC</w:t>
            </w: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17024 и объявить процесс перехода</w:t>
            </w:r>
          </w:p>
        </w:tc>
        <w:tc>
          <w:tcPr>
            <w:tcW w:w="5128" w:type="dxa"/>
            <w:vAlign w:val="center"/>
          </w:tcPr>
          <w:p w14:paraId="36BB7A40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Как можно скорее, но </w:t>
            </w: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не позднее 1 октября 2027 года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18 месяцев с даты публикации стандарта.</w:t>
            </w:r>
          </w:p>
        </w:tc>
      </w:tr>
      <w:tr w14:paraId="72398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6" w:type="dxa"/>
            <w:vAlign w:val="center"/>
          </w:tcPr>
          <w:p w14:paraId="2C8D5A32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Органы по оценке соответствия (ООС) должны представить в ОА заявление о переходе на </w:t>
            </w: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ISO</w:t>
            </w: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/</w:t>
            </w: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IEC</w:t>
            </w: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17024:2026</w:t>
            </w:r>
          </w:p>
        </w:tc>
        <w:tc>
          <w:tcPr>
            <w:tcW w:w="5128" w:type="dxa"/>
            <w:vAlign w:val="center"/>
          </w:tcPr>
          <w:p w14:paraId="45CA0548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Как можно скорее, но </w:t>
            </w: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не позднее 31 марта 2028 года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24 месяца с даты публикации стандарта.</w:t>
            </w:r>
          </w:p>
        </w:tc>
      </w:tr>
      <w:tr w14:paraId="1B5DA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6" w:type="dxa"/>
            <w:vAlign w:val="center"/>
          </w:tcPr>
          <w:p w14:paraId="2344158D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Завершение ОА перехода аккредитованных ООС на </w:t>
            </w: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ISO</w:t>
            </w: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/</w:t>
            </w: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IEC</w:t>
            </w: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17024:2026</w:t>
            </w:r>
          </w:p>
        </w:tc>
        <w:tc>
          <w:tcPr>
            <w:tcW w:w="5128" w:type="dxa"/>
            <w:vAlign w:val="center"/>
          </w:tcPr>
          <w:p w14:paraId="05FB7900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31 марта 2029 года.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36 месяцев с даты публикации стандарта.</w:t>
            </w:r>
          </w:p>
        </w:tc>
      </w:tr>
      <w:tr w14:paraId="2A7F6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6" w:type="dxa"/>
            <w:vAlign w:val="center"/>
          </w:tcPr>
          <w:p w14:paraId="71D0509A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Начало проведения ООС первоначальной сертификации и повторной сертификации исключительно в соответствии с </w:t>
            </w: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ISO</w:t>
            </w: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/</w:t>
            </w: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IEC</w:t>
            </w: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17024:2026</w:t>
            </w:r>
          </w:p>
        </w:tc>
        <w:tc>
          <w:tcPr>
            <w:tcW w:w="5128" w:type="dxa"/>
            <w:vAlign w:val="center"/>
          </w:tcPr>
          <w:p w14:paraId="5FB12904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 позднее </w:t>
            </w: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31 марта 2029 года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36 месяцев с даты публикации стандарта.</w:t>
            </w:r>
          </w:p>
        </w:tc>
      </w:tr>
      <w:tr w14:paraId="5C14C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6" w:type="dxa"/>
            <w:vAlign w:val="center"/>
          </w:tcPr>
          <w:p w14:paraId="75D4DF9A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Завершение ООС перехода сертифицированных лиц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— в рамках плановой оценки (например, надзорных мероприятий) до указанной даты либо в рамках специального переходного аудита до указанной даты</w:t>
            </w:r>
          </w:p>
        </w:tc>
        <w:tc>
          <w:tcPr>
            <w:tcW w:w="5128" w:type="dxa"/>
            <w:vAlign w:val="center"/>
          </w:tcPr>
          <w:p w14:paraId="0292FD87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Дата определяется каждым ООС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исходя из срока действия сертификата. Переход может быть осуществлён в рамках обычного цикла повторной сертификации.</w:t>
            </w:r>
          </w:p>
        </w:tc>
      </w:tr>
      <w:tr w14:paraId="107BA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6" w:type="dxa"/>
            <w:vAlign w:val="center"/>
          </w:tcPr>
          <w:p w14:paraId="4C8257C9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Предоставление данных в </w:t>
            </w: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Global</w:t>
            </w: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</w:t>
            </w: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ACI</w:t>
            </w: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(если применимо)</w:t>
            </w:r>
          </w:p>
        </w:tc>
        <w:tc>
          <w:tcPr>
            <w:tcW w:w="5128" w:type="dxa"/>
            <w:vAlign w:val="center"/>
          </w:tcPr>
          <w:p w14:paraId="3F6E95F5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Style w:val="10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По запросу.</w:t>
            </w:r>
          </w:p>
        </w:tc>
      </w:tr>
    </w:tbl>
    <w:p w14:paraId="735D811E">
      <w:pPr>
        <w:pStyle w:val="2"/>
        <w:ind w:left="0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</w:p>
    <w:p w14:paraId="04813FB7">
      <w:pPr>
        <w:pStyle w:val="2"/>
        <w:ind w:firstLine="79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5. ПРОЦЕСС ПЕРЕХОДА</w:t>
      </w:r>
    </w:p>
    <w:p w14:paraId="7C258595">
      <w:pPr>
        <w:pStyle w:val="2"/>
        <w:ind w:firstLine="79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</w:p>
    <w:p w14:paraId="6D75F4F1">
      <w:pPr>
        <w:pStyle w:val="2"/>
        <w:ind w:firstLine="79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5.1 Процесс и действия органа по аккредитации</w:t>
      </w:r>
    </w:p>
    <w:p w14:paraId="6142BADC">
      <w:pPr>
        <w:pStyle w:val="2"/>
        <w:ind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Использование Приложения A рекомендуется, однако не является обязательным.</w:t>
      </w:r>
    </w:p>
    <w:p w14:paraId="580766C2">
      <w:pPr>
        <w:pStyle w:val="2"/>
        <w:ind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Орган по аккредитации (ОА) может использовать Приложение A либо разработать собственную форму декларации вместо Приложения A.</w:t>
      </w:r>
    </w:p>
    <w:p w14:paraId="2EFDFC57">
      <w:pPr>
        <w:pStyle w:val="2"/>
        <w:ind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При этом важно обеспечить, чтобы все элементы, предусмотренные Приложением A, были включены в форму, разработанную ОА.</w:t>
      </w:r>
    </w:p>
    <w:p w14:paraId="2CAFD327">
      <w:pPr>
        <w:pStyle w:val="2"/>
        <w:ind w:left="0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</w:p>
    <w:tbl>
      <w:tblPr>
        <w:tblStyle w:val="18"/>
        <w:tblW w:w="0" w:type="auto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3"/>
        <w:gridCol w:w="1126"/>
        <w:gridCol w:w="6153"/>
      </w:tblGrid>
      <w:tr w14:paraId="7955A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3" w:type="dxa"/>
          </w:tcPr>
          <w:p w14:paraId="6BFD5B44">
            <w:pPr>
              <w:pStyle w:val="2"/>
              <w:ind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Деятельность ОА</w:t>
            </w:r>
          </w:p>
        </w:tc>
        <w:tc>
          <w:tcPr>
            <w:tcW w:w="1126" w:type="dxa"/>
          </w:tcPr>
          <w:p w14:paraId="71A32168">
            <w:pPr>
              <w:pStyle w:val="2"/>
              <w:ind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 / Нет</w:t>
            </w:r>
          </w:p>
        </w:tc>
        <w:tc>
          <w:tcPr>
            <w:tcW w:w="6153" w:type="dxa"/>
          </w:tcPr>
          <w:p w14:paraId="1A458D97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Примечания</w:t>
            </w:r>
          </w:p>
        </w:tc>
      </w:tr>
      <w:tr w14:paraId="3168F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3" w:type="dxa"/>
          </w:tcPr>
          <w:p w14:paraId="66321879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Действия / мероприятия ОА  </w:t>
            </w:r>
          </w:p>
        </w:tc>
        <w:tc>
          <w:tcPr>
            <w:tcW w:w="1126" w:type="dxa"/>
          </w:tcPr>
          <w:p w14:paraId="2AE1D5F7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6153" w:type="dxa"/>
          </w:tcPr>
          <w:p w14:paraId="59F36784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a. ОА должен разработать порядок перехода на ISO/IEC 17024:2026, учитывая требования настоящего документа.</w:t>
            </w:r>
          </w:p>
          <w:p w14:paraId="69D71FD2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b. Обеспечить готовность к проведению оценки ООС на соответствие новой версии стандарта при первой возможности и в любом случае не позднее 1 октября 2027 года.</w:t>
            </w:r>
          </w:p>
          <w:p w14:paraId="7CECB891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c. Определить изменения между новой и предыдущей версиями стандарта.</w:t>
            </w:r>
          </w:p>
          <w:p w14:paraId="2071877E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d. Обеспечить своевременное информирование ООС о необходимых мероприятиях и порядке перехода.</w:t>
            </w:r>
          </w:p>
          <w:p w14:paraId="3E67A725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e. В соответствии с настоящим обязательным документом Global ACI использовать декларацию ООС о переходе — см. Приложение A.</w:t>
            </w:r>
          </w:p>
          <w:p w14:paraId="0E9582EA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f. Провести необходимое обучение и подтверждение компетентности оценщиков и другого персонала.</w:t>
            </w:r>
          </w:p>
          <w:p w14:paraId="18CBF858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g. ОА несёт ответственность за демонстрацию наличия надлежащего процесса и необходимой компетентности для работы с пересмотренной версией стандарта.</w:t>
            </w:r>
          </w:p>
          <w:p w14:paraId="6402F752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h. ОА должен по запросу предоставлять Global ACI данные и подробную информацию, относящиеся к процессу перехода.</w:t>
            </w:r>
          </w:p>
          <w:p w14:paraId="60D6FD32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i. Если ОА не готов к переходу в соответствии с требованиями настоящего документа, в Global ACI должна быть подана жалоба. Global ACI должна обеспечить оперативное рассмотрение и разрешение вопроса, чтобы не допустить задержки процесса перехода.</w:t>
            </w:r>
          </w:p>
          <w:p w14:paraId="34DA2FCF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</w:tr>
      <w:tr w14:paraId="3F762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3" w:type="dxa"/>
          </w:tcPr>
          <w:p w14:paraId="0D67CDEB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Рассмотрение документов ООС</w:t>
            </w:r>
          </w:p>
          <w:p w14:paraId="248B4256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126" w:type="dxa"/>
          </w:tcPr>
          <w:p w14:paraId="469182FB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Да</w:t>
            </w:r>
          </w:p>
          <w:p w14:paraId="0D7C95D1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6153" w:type="dxa"/>
          </w:tcPr>
          <w:p w14:paraId="288C013D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Оценить план перехода/внедрения ООС, соответствующую документацию по внесённым изменениям, включая необходимые подтверждения внедрения, а также другую соответствующую информацию, которую ОА сочтёт необходимой.</w:t>
            </w:r>
          </w:p>
          <w:p w14:paraId="1E18451F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Это также может быть выполнено в рамках плановой оценки, проводимой ОА.</w:t>
            </w:r>
          </w:p>
          <w:p w14:paraId="7F8C2BB8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</w:tr>
      <w:tr w14:paraId="10800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3" w:type="dxa"/>
          </w:tcPr>
          <w:p w14:paraId="13D60900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Техническое рассмотрение документов ООС</w:t>
            </w:r>
          </w:p>
          <w:p w14:paraId="4BC2BEEF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126" w:type="dxa"/>
          </w:tcPr>
          <w:p w14:paraId="0C023AF7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Да</w:t>
            </w:r>
          </w:p>
          <w:p w14:paraId="0923BD08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6153" w:type="dxa"/>
          </w:tcPr>
          <w:p w14:paraId="1C4BC145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Провести рассмотрение соответствующей документации, необходимых подтверждений внедрения, а также другой соответствующей информации, которую ОА сочтёт необходимой.</w:t>
            </w:r>
          </w:p>
          <w:p w14:paraId="3B178617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</w:tr>
      <w:tr w14:paraId="6C901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3" w:type="dxa"/>
          </w:tcPr>
          <w:p w14:paraId="2ED24E29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Оценка головного офиса ООС</w:t>
            </w:r>
          </w:p>
          <w:p w14:paraId="58203E8A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126" w:type="dxa"/>
          </w:tcPr>
          <w:p w14:paraId="639EC844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Нет</w:t>
            </w:r>
          </w:p>
          <w:p w14:paraId="680C0DBF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6153" w:type="dxa"/>
          </w:tcPr>
          <w:p w14:paraId="365C5A94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Для данного перехода не требуется.</w:t>
            </w:r>
          </w:p>
          <w:p w14:paraId="31783B85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</w:tr>
      <w:tr w14:paraId="7ECD1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3" w:type="dxa"/>
          </w:tcPr>
          <w:p w14:paraId="0CF4C8FC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Оценка с засвидетельствованием деятельности ООС (Witnessed Assessment)</w:t>
            </w:r>
          </w:p>
          <w:p w14:paraId="09D08835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126" w:type="dxa"/>
          </w:tcPr>
          <w:p w14:paraId="4043F477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Нет</w:t>
            </w:r>
          </w:p>
          <w:p w14:paraId="200610A1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6153" w:type="dxa"/>
          </w:tcPr>
          <w:p w14:paraId="171AB00A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Для данного перехода не требуется.</w:t>
            </w:r>
          </w:p>
          <w:p w14:paraId="75E01D7C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ОА может потребовать засвидетельствования применения ИИ при проведении прокторинга (контроля за проведением экзамена) или других элементов процесса сертификации.</w:t>
            </w:r>
          </w:p>
          <w:p w14:paraId="23B8ACE2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</w:tr>
      <w:tr w14:paraId="73E59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3" w:type="dxa"/>
          </w:tcPr>
          <w:p w14:paraId="2F4117E9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Решение ОА о переходе</w:t>
            </w:r>
          </w:p>
          <w:p w14:paraId="221FFB0C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126" w:type="dxa"/>
          </w:tcPr>
          <w:p w14:paraId="7C039FFF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Да</w:t>
            </w:r>
          </w:p>
          <w:p w14:paraId="3FEECC82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6153" w:type="dxa"/>
          </w:tcPr>
          <w:p w14:paraId="1316E1F7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a. ОА должны принять решение о переходе в соответствии с декларацией (Приложение A) и подтверждающими документами.</w:t>
            </w:r>
          </w:p>
          <w:p w14:paraId="6FE784D6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b. Последующий контроль будет осуществляться в рамках плановой оценки.</w:t>
            </w:r>
          </w:p>
          <w:p w14:paraId="1FE00A38">
            <w:pPr>
              <w:pStyle w:val="2"/>
              <w:tabs>
                <w:tab w:val="left" w:pos="746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c. В случае возникновения чрезвычайных/исключительных обстоятельств, по усмотрению ОА, до принятия решения о переходе может потребоваться проведение дополнительных мероприятий по переходу.</w:t>
            </w:r>
          </w:p>
          <w:p w14:paraId="70F4BF36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Например, если аккредитация ООС приостановлена, решение о переходе не может быть принято только на основании декларации, и может потребоваться дальнейшая проверка (например, проведение оценки).</w:t>
            </w:r>
          </w:p>
          <w:p w14:paraId="47286633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</w:tr>
      <w:tr w14:paraId="19773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3" w:type="dxa"/>
          </w:tcPr>
          <w:p w14:paraId="621ED80C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Прочее (Others)</w:t>
            </w:r>
          </w:p>
          <w:p w14:paraId="4ADBE613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126" w:type="dxa"/>
          </w:tcPr>
          <w:p w14:paraId="1522BAF6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Нет</w:t>
            </w:r>
          </w:p>
          <w:p w14:paraId="71164B87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6153" w:type="dxa"/>
          </w:tcPr>
          <w:p w14:paraId="424A091E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Не применимо </w:t>
            </w:r>
          </w:p>
          <w:p w14:paraId="7F5C7812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</w:tr>
      <w:tr w14:paraId="2289C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3" w:type="dxa"/>
          </w:tcPr>
          <w:p w14:paraId="7C77C6CD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Потребуется ли дополнительное время для перехода?</w:t>
            </w:r>
          </w:p>
          <w:p w14:paraId="0DBDCC54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126" w:type="dxa"/>
          </w:tcPr>
          <w:p w14:paraId="437F23FF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Нет</w:t>
            </w:r>
          </w:p>
          <w:p w14:paraId="4554749A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6153" w:type="dxa"/>
          </w:tcPr>
          <w:p w14:paraId="14E3378B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Для данного перехода дополнительное время не требуется.</w:t>
            </w:r>
          </w:p>
          <w:p w14:paraId="6BD69062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В случае исключительных обстоятельств, по усмотрению ОА, до принятия решения о переходе могут потребоваться дополнительные мероприятия в рамках перехода. Например, если аккредитация ООС приостановлена, решение о переходе может быть невозможно принять на основании одной только декларации, и может потребоваться дополнительная проверка (например, проведение оценки).</w:t>
            </w:r>
          </w:p>
          <w:p w14:paraId="540A19BA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</w:tr>
      <w:tr w14:paraId="29B3B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3" w:type="dxa"/>
          </w:tcPr>
          <w:p w14:paraId="59B75B1A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Влияние на аккредитации</w:t>
            </w:r>
          </w:p>
          <w:p w14:paraId="1BFCC11A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126" w:type="dxa"/>
          </w:tcPr>
          <w:p w14:paraId="3B92D8E0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Да</w:t>
            </w:r>
          </w:p>
          <w:p w14:paraId="4A88D205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6153" w:type="dxa"/>
          </w:tcPr>
          <w:p w14:paraId="54657381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a. Аккредитации, выданные в соответствии с предыдущей версией документа, утрачивают силу после окончания установленного переходного периода.</w:t>
            </w:r>
          </w:p>
          <w:p w14:paraId="530D0942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b. Вся новая деятельность по аккредитации должна осуществляться в соответствии с пересмотренной версией стандарта согласно срокам, указанным выше.</w:t>
            </w:r>
          </w:p>
          <w:p w14:paraId="7DEDDFE8">
            <w:pPr>
              <w:pStyle w:val="2"/>
              <w:tabs>
                <w:tab w:val="left" w:pos="463"/>
              </w:tabs>
              <w:ind w:left="0" w:firstLine="463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</w:tr>
    </w:tbl>
    <w:p w14:paraId="15F461D1">
      <w:pPr>
        <w:pStyle w:val="2"/>
        <w:ind w:left="0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</w:p>
    <w:p w14:paraId="37D37D02">
      <w:pPr>
        <w:pStyle w:val="2"/>
        <w:ind w:firstLine="374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5.2. Действия и процесс органа по оценке соответствия (ООС)</w:t>
      </w:r>
    </w:p>
    <w:p w14:paraId="3E4EEB3D">
      <w:pPr>
        <w:pStyle w:val="2"/>
        <w:ind w:firstLine="374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</w:p>
    <w:tbl>
      <w:tblPr>
        <w:tblStyle w:val="18"/>
        <w:tblW w:w="0" w:type="auto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134"/>
        <w:gridCol w:w="6720"/>
      </w:tblGrid>
      <w:tr w14:paraId="41EBA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3A0723AA">
            <w:pPr>
              <w:pStyle w:val="2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Деятельность ООС</w:t>
            </w:r>
          </w:p>
        </w:tc>
        <w:tc>
          <w:tcPr>
            <w:tcW w:w="1134" w:type="dxa"/>
          </w:tcPr>
          <w:p w14:paraId="3EF0020E">
            <w:pPr>
              <w:pStyle w:val="2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Да / Нет</w:t>
            </w:r>
          </w:p>
        </w:tc>
        <w:tc>
          <w:tcPr>
            <w:tcW w:w="6720" w:type="dxa"/>
          </w:tcPr>
          <w:p w14:paraId="188BB000">
            <w:pPr>
              <w:pStyle w:val="2"/>
              <w:ind w:left="0" w:firstLine="466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Примечания</w:t>
            </w:r>
          </w:p>
        </w:tc>
      </w:tr>
      <w:tr w14:paraId="781FC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1965A7D4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Действия / мероприятия ООС</w:t>
            </w:r>
          </w:p>
          <w:p w14:paraId="0944417A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14:paraId="2AE8A38A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Да</w:t>
            </w:r>
          </w:p>
          <w:p w14:paraId="1A909C8C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6720" w:type="dxa"/>
          </w:tcPr>
          <w:p w14:paraId="7E51CC1A">
            <w:pPr>
              <w:pStyle w:val="2"/>
              <w:ind w:left="0" w:firstLine="466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a. ООС должен разработать порядок перехода на ISO/IEC 17024:2026, учитывая требования настоящего документа и порядок перехода, установленный соответствующим ОА.</w:t>
            </w:r>
          </w:p>
          <w:p w14:paraId="38E825F2">
            <w:pPr>
              <w:pStyle w:val="2"/>
              <w:ind w:left="0" w:firstLine="466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b. ООС должны заявить своему ОА о готовности к переходу, используя прилагаемый шаблон декларации (Приложение A).</w:t>
            </w:r>
          </w:p>
          <w:p w14:paraId="71500604">
            <w:pPr>
              <w:pStyle w:val="2"/>
              <w:ind w:left="0" w:firstLine="466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c. ООС должны спланировать и подготовиться к подаче в ОА заявления о переходе на основании декларации (Приложение A) до 31 марта 2028 года, то есть в течение 24 месяцев с даты публикации стандарта.</w:t>
            </w:r>
          </w:p>
          <w:p w14:paraId="7AD5A0C7">
            <w:pPr>
              <w:pStyle w:val="2"/>
              <w:ind w:left="0" w:firstLine="466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d. Разработать план перехода, предусматривающий следующее:</w:t>
            </w:r>
          </w:p>
          <w:p w14:paraId="7085E23C">
            <w:pPr>
              <w:pStyle w:val="2"/>
              <w:numPr>
                <w:ilvl w:val="0"/>
                <w:numId w:val="3"/>
              </w:numPr>
              <w:ind w:left="0" w:firstLine="466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Определить изменения между новой и предыдущей версиями стандарта. Типовые процессы, в которых могут потребоваться изменения, включают управление компетентностью и коммуникацию. Необходимо проанализировать влияние изменений на соответствующие виды деятельности и процессы и определить необходимые действия для обеспечения соответствия требованиям (например, в отношении системы менеджмента, документации и IT-инструментов).</w:t>
            </w:r>
          </w:p>
          <w:p w14:paraId="5B450005">
            <w:pPr>
              <w:pStyle w:val="2"/>
              <w:numPr>
                <w:ilvl w:val="0"/>
                <w:numId w:val="3"/>
              </w:numPr>
              <w:ind w:left="0" w:firstLine="466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Реализовать необходимые действия.</w:t>
            </w:r>
          </w:p>
          <w:p w14:paraId="011EB323">
            <w:pPr>
              <w:pStyle w:val="2"/>
              <w:numPr>
                <w:ilvl w:val="0"/>
                <w:numId w:val="3"/>
              </w:numPr>
              <w:ind w:left="0" w:firstLine="466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Обеспечить, чтобы соответствующий персонал, на которого распространяются изменения, прошёл необходимое обучение и обладал компетентностью в отношении пересмотренной версии стандарта и процесса перехода.</w:t>
            </w:r>
          </w:p>
          <w:p w14:paraId="3028DC9C">
            <w:pPr>
              <w:pStyle w:val="2"/>
              <w:ind w:left="0" w:firstLine="466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e. ООС несёт ответственность за демонстрацию того, что он надлежащим образом выполняет требования и обеспечивает необходимые компетенции в соответствии с пересмотренным стандартом ISO/IEC 17024:2026.</w:t>
            </w:r>
          </w:p>
          <w:p w14:paraId="72799E75">
            <w:pPr>
              <w:pStyle w:val="2"/>
              <w:ind w:left="0" w:firstLine="466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f. ООС должны по запросу предоставлять своему ОА план перехода и подтверждающую документацию.</w:t>
            </w:r>
          </w:p>
          <w:p w14:paraId="38D25551">
            <w:pPr>
              <w:pStyle w:val="2"/>
              <w:ind w:left="0" w:firstLine="466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</w:tr>
    </w:tbl>
    <w:p w14:paraId="0A32BCA5">
      <w:pPr>
        <w:pStyle w:val="2"/>
        <w:ind w:left="0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</w:p>
    <w:p w14:paraId="5346B294">
      <w:pPr>
        <w:pStyle w:val="2"/>
        <w:ind w:left="426" w:firstLine="851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6. ПРОЧЕЕ</w:t>
      </w:r>
    </w:p>
    <w:p w14:paraId="0B913BF5">
      <w:pPr>
        <w:pStyle w:val="2"/>
        <w:ind w:left="426" w:firstLine="851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6.1. Если аккредитованный ООС не намерен переходить на новую редакцию стандарта, он должен уведомить об этом ОА как можно раньше. В конце переходного периода аккредитация ООС по данному документу должна быть отозвана.</w:t>
      </w:r>
    </w:p>
    <w:p w14:paraId="270896F7">
      <w:pPr>
        <w:pStyle w:val="2"/>
        <w:ind w:left="426" w:firstLine="851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6.1.1. Если аккредитованный ООС принимает решение не переходить на новую редакцию, он должен уведомить затронутых этим решением сертифицированных лиц о данном решении в течение 24 месяцев с даты публикации стандарта.</w:t>
      </w:r>
    </w:p>
    <w:p w14:paraId="481132A7">
      <w:pPr>
        <w:pStyle w:val="2"/>
        <w:ind w:left="426" w:firstLine="851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6.1.2. ОА и ООС должны соответственно соблюдать процедуры отзыва аккредитации и отзыва сертификации, чтобы они вступили в силу по окончании переходного периода.</w:t>
      </w:r>
    </w:p>
    <w:p w14:paraId="2CE60AE4">
      <w:pPr>
        <w:pStyle w:val="2"/>
        <w:ind w:left="426" w:firstLine="851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6.1.3. Аккредитации, выданные в соответствии с предыдущей версией документа, утрачивают силу после окончания переходного периода.</w:t>
      </w:r>
    </w:p>
    <w:p w14:paraId="7FDBB66C">
      <w:pPr>
        <w:pStyle w:val="2"/>
        <w:ind w:left="426" w:firstLine="851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6.2.Если затронутое изменениями сертифицированное лицо принимает решение не переходить на новую версию стандарта, ООС может провести оценивание в соответствии с предыдущей версией стандарта.</w:t>
      </w:r>
    </w:p>
    <w:p w14:paraId="2AF24545">
      <w:pPr>
        <w:pStyle w:val="2"/>
        <w:ind w:left="426" w:firstLine="851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В этом случае ООС должен уведомить сертифицированных лиц о том, что срок действия их сертификации заканчивается по окончании переходного периода.</w:t>
      </w:r>
    </w:p>
    <w:p w14:paraId="73D9B378">
      <w:pPr>
        <w:pStyle w:val="2"/>
        <w:ind w:left="426" w:firstLine="851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6.3.ООС не вправе проводить новую сертификацию по ISO/IEC 17024:2012 после завершения переходного периода.</w:t>
      </w:r>
    </w:p>
    <w:p w14:paraId="01C6EC79">
      <w:pPr>
        <w:pStyle w:val="2"/>
        <w:ind w:left="426" w:firstLine="851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ООС могут осуществить переход сертифицированных лиц в рамках обычного цикла повторной сертификации.</w:t>
      </w:r>
    </w:p>
    <w:p w14:paraId="76F96B90">
      <w:pPr>
        <w:pStyle w:val="2"/>
        <w:ind w:left="426" w:firstLine="851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</w:p>
    <w:p w14:paraId="476A8465">
      <w:pPr>
        <w:pStyle w:val="2"/>
        <w:ind w:left="426" w:firstLine="851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7. ТАБЛИЦА ИЗМЕНЕНИЙ (ПОПРАВОК)</w:t>
      </w:r>
    </w:p>
    <w:tbl>
      <w:tblPr>
        <w:tblStyle w:val="18"/>
        <w:tblW w:w="0" w:type="auto"/>
        <w:tblInd w:w="6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2410"/>
        <w:gridCol w:w="5870"/>
      </w:tblGrid>
      <w:tr w14:paraId="7FF5C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1E812986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 xml:space="preserve">Раздел </w:t>
            </w:r>
          </w:p>
        </w:tc>
        <w:tc>
          <w:tcPr>
            <w:tcW w:w="2410" w:type="dxa"/>
          </w:tcPr>
          <w:p w14:paraId="5C22CBBA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 xml:space="preserve">Предыдущая версия </w:t>
            </w:r>
          </w:p>
        </w:tc>
        <w:tc>
          <w:tcPr>
            <w:tcW w:w="5870" w:type="dxa"/>
          </w:tcPr>
          <w:p w14:paraId="6754E3F9">
            <w:pPr>
              <w:pStyle w:val="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Краткое описание изменений</w:t>
            </w:r>
          </w:p>
          <w:p w14:paraId="3DEE7470">
            <w:pPr>
              <w:pStyle w:val="2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</w:tr>
      <w:tr w14:paraId="56C0B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13B9B01D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 xml:space="preserve">Все разделы </w:t>
            </w:r>
          </w:p>
        </w:tc>
        <w:tc>
          <w:tcPr>
            <w:tcW w:w="2410" w:type="dxa"/>
          </w:tcPr>
          <w:p w14:paraId="55A602E7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—</w:t>
            </w:r>
          </w:p>
        </w:tc>
        <w:tc>
          <w:tcPr>
            <w:tcW w:w="5870" w:type="dxa"/>
          </w:tcPr>
          <w:p w14:paraId="7C897B5A">
            <w:pPr>
              <w:pStyle w:val="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Первоначальная редакция документа Global ACI</w:t>
            </w:r>
          </w:p>
          <w:p w14:paraId="5CCA44DD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</w:tr>
    </w:tbl>
    <w:p w14:paraId="0E786116">
      <w:pPr>
        <w:pStyle w:val="2"/>
        <w:ind w:left="0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</w:p>
    <w:p w14:paraId="703BC36C">
      <w:pPr>
        <w:pStyle w:val="2"/>
        <w:ind w:left="0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</w:p>
    <w:p w14:paraId="62E09F23">
      <w:pPr>
        <w:pStyle w:val="2"/>
        <w:ind w:left="0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</w:p>
    <w:p w14:paraId="3D5A3657">
      <w:pPr>
        <w:pStyle w:val="2"/>
        <w:ind w:left="0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</w:p>
    <w:p w14:paraId="582C63A4">
      <w:pPr>
        <w:pStyle w:val="2"/>
        <w:ind w:left="0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</w:p>
    <w:p w14:paraId="63F9615A">
      <w:pPr>
        <w:pStyle w:val="2"/>
        <w:ind w:left="0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</w:p>
    <w:p w14:paraId="570EBE5F">
      <w:pPr>
        <w:pStyle w:val="2"/>
        <w:ind w:left="0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</w:p>
    <w:p w14:paraId="79A0E842">
      <w:pPr>
        <w:pStyle w:val="2"/>
        <w:ind w:left="0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</w:p>
    <w:p w14:paraId="0095767A">
      <w:pPr>
        <w:pStyle w:val="2"/>
        <w:ind w:left="0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</w:p>
    <w:p w14:paraId="0E70511E">
      <w:pPr>
        <w:pStyle w:val="2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ПРИЛОЖЕНИЕ A</w:t>
      </w:r>
    </w:p>
    <w:p w14:paraId="386EFE98">
      <w:pPr>
        <w:pStyle w:val="2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</w:p>
    <w:p w14:paraId="05E4A333">
      <w:pPr>
        <w:pStyle w:val="2"/>
        <w:ind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Декларация аккредитованного органа по оценке соответствия о переходе на ISO/IEC 17024:2026</w:t>
      </w:r>
    </w:p>
    <w:p w14:paraId="2F5590F4">
      <w:pPr>
        <w:pStyle w:val="2"/>
        <w:ind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Я, (Ф.И.О. ниже), настоящим заявляю, что с даты подписания настоящей декларации ООС (наименование ООС ниже):</w:t>
      </w:r>
    </w:p>
    <w:p w14:paraId="00A6A7AD">
      <w:pPr>
        <w:pStyle w:val="2"/>
        <w:numPr>
          <w:ilvl w:val="0"/>
          <w:numId w:val="4"/>
        </w:numPr>
        <w:ind w:left="52"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внедрил изменения, предусмотренные в рамках данного перехода;</w:t>
      </w:r>
    </w:p>
    <w:p w14:paraId="147B52D2">
      <w:pPr>
        <w:pStyle w:val="2"/>
        <w:numPr>
          <w:ilvl w:val="0"/>
          <w:numId w:val="4"/>
        </w:numPr>
        <w:ind w:left="52"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соответствует требованиям, необходимым для осуществления перехода;</w:t>
      </w:r>
    </w:p>
    <w:p w14:paraId="5A24F3E4">
      <w:pPr>
        <w:pStyle w:val="2"/>
        <w:numPr>
          <w:ilvl w:val="0"/>
          <w:numId w:val="4"/>
        </w:numPr>
        <w:ind w:left="52"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может предоставить документальные подтверждения внедрения.</w:t>
      </w:r>
    </w:p>
    <w:p w14:paraId="56AD609C">
      <w:pPr>
        <w:pStyle w:val="2"/>
        <w:ind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Я также подтверждаю, что:</w:t>
      </w:r>
    </w:p>
    <w:p w14:paraId="54601CAF">
      <w:pPr>
        <w:pStyle w:val="2"/>
        <w:numPr>
          <w:ilvl w:val="0"/>
          <w:numId w:val="5"/>
        </w:numPr>
        <w:ind w:left="52"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ОА, которым аккредитован данный ООС, проведёт проверку внедрения мероприятий по переходу на соответствие настоящей декларации в ходе следующей(их) оценки(ок).</w:t>
      </w:r>
    </w:p>
    <w:p w14:paraId="06394184">
      <w:pPr>
        <w:pStyle w:val="2"/>
        <w:numPr>
          <w:ilvl w:val="0"/>
          <w:numId w:val="5"/>
        </w:numPr>
        <w:ind w:left="52"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Предоставление недостоверной декларации или декларации, положения которой не могут быть подтверждены, является нарушением Условий аккредитации и является основанием для принятия мер по устранению несоответствий и проведения корректирующих действий. Если данные нарушения не будут надлежащим образом устранены в установленные сроки, это может стать основанием для приостановления или отзыва аккредитации.</w:t>
      </w:r>
    </w:p>
    <w:p w14:paraId="5D93138F">
      <w:pPr>
        <w:pStyle w:val="2"/>
        <w:ind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Следующие мероприятия выполнены:</w:t>
      </w:r>
    </w:p>
    <w:p w14:paraId="6E622E09">
      <w:pPr>
        <w:pStyle w:val="2"/>
        <w:numPr>
          <w:ilvl w:val="0"/>
          <w:numId w:val="6"/>
        </w:numPr>
        <w:ind w:left="52"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План перехода.</w:t>
      </w:r>
    </w:p>
    <w:p w14:paraId="478D0E59">
      <w:pPr>
        <w:pStyle w:val="2"/>
        <w:numPr>
          <w:ilvl w:val="0"/>
          <w:numId w:val="6"/>
        </w:numPr>
        <w:ind w:left="52"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Пересмотрена документация для обеспечения перехода и/или выполнения пересмотренных требований.</w:t>
      </w:r>
    </w:p>
    <w:p w14:paraId="096C4893">
      <w:pPr>
        <w:pStyle w:val="2"/>
        <w:numPr>
          <w:ilvl w:val="0"/>
          <w:numId w:val="6"/>
        </w:numPr>
        <w:ind w:left="52"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Определены необходимые компетенции в отношении пересмотренного документа, и ООС располагает достаточным количеством персонала, участвующего в деятельности по оценке, который признан компетентным для обеспечения выполнения пересмотренной программы сертификации.</w:t>
      </w:r>
    </w:p>
    <w:p w14:paraId="1A28D385">
      <w:pPr>
        <w:pStyle w:val="2"/>
        <w:numPr>
          <w:ilvl w:val="0"/>
          <w:numId w:val="6"/>
        </w:numPr>
        <w:ind w:left="52"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ООС имеет процесс определения продолжительности оценки, обеспечивающий выполнение требований пересмотренной программы сертификации (если применимо).</w:t>
      </w:r>
    </w:p>
    <w:p w14:paraId="2B475DEC">
      <w:pPr>
        <w:pStyle w:val="2"/>
        <w:numPr>
          <w:ilvl w:val="0"/>
          <w:numId w:val="6"/>
        </w:numPr>
        <w:ind w:left="52" w:firstLine="799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ООС имеет процесс управления сертификациями по пересмотренному документу, который включает: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br w:type="textWrapping"/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(a) выдачу аккредитованных сертификатов только после принятия ОА решения о переходе; 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br w:type="textWrapping"/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  <w:t>(b) установление и контроль соответствующих сроков окончания действия ранее выданных сертификатов.</w:t>
      </w:r>
    </w:p>
    <w:p w14:paraId="7E4C9762">
      <w:pPr>
        <w:pStyle w:val="2"/>
        <w:ind w:left="720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</w:p>
    <w:tbl>
      <w:tblPr>
        <w:tblStyle w:val="18"/>
        <w:tblW w:w="0" w:type="auto"/>
        <w:tblInd w:w="8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5387"/>
      </w:tblGrid>
      <w:tr w14:paraId="27852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 w14:paraId="3AEE986F">
            <w:pPr>
              <w:widowControl/>
              <w:autoSpaceDE/>
              <w:autoSpaceDN/>
              <w:spacing w:before="100" w:beforeAutospacing="1" w:after="100" w:afterAutospacing="1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eastAsia="ru-RU"/>
              </w:rPr>
              <w:t>Подпись:</w:t>
            </w:r>
          </w:p>
        </w:tc>
        <w:tc>
          <w:tcPr>
            <w:tcW w:w="5387" w:type="dxa"/>
          </w:tcPr>
          <w:p w14:paraId="6E5AABFE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</w:tr>
      <w:tr w14:paraId="5CE90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 w14:paraId="3B69EDD8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Ф.И.О.:</w:t>
            </w:r>
          </w:p>
        </w:tc>
        <w:tc>
          <w:tcPr>
            <w:tcW w:w="5387" w:type="dxa"/>
          </w:tcPr>
          <w:p w14:paraId="69D64A30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</w:tr>
      <w:tr w14:paraId="06B38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 w14:paraId="71F16B49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Должность:</w:t>
            </w:r>
          </w:p>
        </w:tc>
        <w:tc>
          <w:tcPr>
            <w:tcW w:w="5387" w:type="dxa"/>
          </w:tcPr>
          <w:p w14:paraId="55ADC6E1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</w:tr>
      <w:tr w14:paraId="22975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 w14:paraId="313D4AE7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Наименование ООС:</w:t>
            </w:r>
          </w:p>
        </w:tc>
        <w:tc>
          <w:tcPr>
            <w:tcW w:w="5387" w:type="dxa"/>
          </w:tcPr>
          <w:p w14:paraId="176F442E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</w:tr>
      <w:tr w14:paraId="63A75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 w14:paraId="240D1FAF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Дата:</w:t>
            </w:r>
          </w:p>
        </w:tc>
        <w:tc>
          <w:tcPr>
            <w:tcW w:w="5387" w:type="dxa"/>
          </w:tcPr>
          <w:p w14:paraId="268551FF">
            <w:pPr>
              <w:pStyle w:val="2"/>
              <w:ind w:left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</w:tr>
    </w:tbl>
    <w:p w14:paraId="6884BD7E">
      <w:pPr>
        <w:pStyle w:val="2"/>
        <w:ind w:left="0"/>
        <w:jc w:val="both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 w:eastAsia="ru-RU"/>
        </w:rPr>
      </w:pPr>
    </w:p>
    <w:sectPr>
      <w:pgSz w:w="12240" w:h="15840"/>
      <w:pgMar w:top="1620" w:right="720" w:bottom="1000" w:left="1080" w:header="573" w:footer="81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4317AA">
    <w:pPr>
      <w:pStyle w:val="12"/>
      <w:spacing w:before="0"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4248150</wp:posOffset>
              </wp:positionH>
              <wp:positionV relativeFrom="page">
                <wp:posOffset>9401175</wp:posOffset>
              </wp:positionV>
              <wp:extent cx="2845435" cy="26670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5435" cy="266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8695E3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 xml:space="preserve">              Global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ACI-TECH-3-TR 2029-03-31</w:t>
                          </w:r>
                          <w:r>
                            <w:rPr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(</w:t>
                          </w:r>
                          <w:r>
                            <w:rPr>
                              <w:spacing w:val="-5"/>
                              <w:sz w:val="20"/>
                              <w:lang w:val="ru-RU"/>
                            </w:rPr>
                            <w:t>М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334.5pt;margin-top:740.25pt;height:21pt;width:224.05pt;mso-position-horizontal-relative:page;mso-position-vertical-relative:page;z-index:-251655168;mso-width-relative:page;mso-height-relative:page;" filled="f" stroked="f" coordsize="21600,21600" o:gfxdata="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okxvvcAAAADgEAAA8AAAAAAAAAAQAgAAAAIgAAAGRycy9kb3ducmV2LnhtbFBLAQIUABQA&#10;AAAIAIdO4kD0AjmPswEAAHQDAAAOAAAAAAAAAAEAIAAAACs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38695E3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 xml:space="preserve">              Global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ACI-TECH-3-TR 2029-03-31</w:t>
                    </w:r>
                    <w:r>
                      <w:rPr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(</w:t>
                    </w:r>
                    <w:r>
                      <w:rPr>
                        <w:spacing w:val="-5"/>
                        <w:sz w:val="20"/>
                        <w:lang w:val="ru-RU"/>
                      </w:rPr>
                      <w:t>М</w:t>
                    </w:r>
                    <w:r>
                      <w:rPr>
                        <w:spacing w:val="-5"/>
                        <w:sz w:val="20"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AC3C0D">
    <w:pPr>
      <w:pStyle w:val="12"/>
      <w:spacing w:before="0"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4695825</wp:posOffset>
              </wp:positionH>
              <wp:positionV relativeFrom="page">
                <wp:posOffset>9401175</wp:posOffset>
              </wp:positionV>
              <wp:extent cx="2340610" cy="209550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40610" cy="209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01F3A1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Global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ACI-TECH-3-TR 2029-03-31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(</w:t>
                          </w:r>
                          <w:r>
                            <w:rPr>
                              <w:spacing w:val="-5"/>
                              <w:sz w:val="20"/>
                              <w:lang w:val="ru-RU"/>
                            </w:rPr>
                            <w:t>М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26" o:spt="202" type="#_x0000_t202" style="position:absolute;left:0pt;margin-left:369.75pt;margin-top:740.25pt;height:16.5pt;width:184.3pt;mso-position-horizontal-relative:page;mso-position-vertical-relative:page;z-index:-251656192;mso-width-relative:page;mso-height-relative:page;" filled="f" stroked="f" coordsize="21600,21600" o:gfxdata="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7lkyE2wAAAA4BAAAPAAAAAAAAAAEAIAAAACIAAABkcnMvZG93bnJldi54bWxQSwECFAAUAAAA&#10;CACHTuJAFb0gc7IBAAB0AwAADgAAAAAAAAABACAAAAAq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B01F3A1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Global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 xml:space="preserve">ACI-TECH-3-TR 2029-03-31 </w:t>
                    </w:r>
                    <w:r>
                      <w:rPr>
                        <w:spacing w:val="-5"/>
                        <w:sz w:val="20"/>
                      </w:rPr>
                      <w:t>(</w:t>
                    </w:r>
                    <w:r>
                      <w:rPr>
                        <w:spacing w:val="-5"/>
                        <w:sz w:val="20"/>
                        <w:lang w:val="ru-RU"/>
                      </w:rPr>
                      <w:t>М</w:t>
                    </w:r>
                    <w:r>
                      <w:rPr>
                        <w:spacing w:val="-5"/>
                        <w:sz w:val="20"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704850</wp:posOffset>
              </wp:positionH>
              <wp:positionV relativeFrom="page">
                <wp:posOffset>9401175</wp:posOffset>
              </wp:positionV>
              <wp:extent cx="1905000" cy="313055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5000" cy="313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D84718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  <w:lang w:val="ru-RU"/>
                            </w:rPr>
                            <w:t>Дата выпуска</w:t>
                          </w:r>
                          <w:r>
                            <w:rPr>
                              <w:sz w:val="20"/>
                            </w:rPr>
                            <w:t>: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</w:t>
                          </w:r>
                          <w:r>
                            <w:rPr>
                              <w:sz w:val="20"/>
                              <w:lang w:val="ru-RU"/>
                            </w:rPr>
                            <w:t>3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  <w:lang w:val="ru-RU"/>
                            </w:rPr>
                            <w:t xml:space="preserve">Августа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2026</w:t>
                          </w:r>
                        </w:p>
                        <w:p w14:paraId="272C58C3">
                          <w:pPr>
                            <w:spacing w:before="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  <w:lang w:val="ru-RU"/>
                            </w:rPr>
                            <w:t>Версия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: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6" o:spt="202" type="#_x0000_t202" style="position:absolute;left:0pt;margin-left:55.5pt;margin-top:740.25pt;height:24.65pt;width:150pt;mso-position-horizontal-relative:page;mso-position-vertical-relative:page;z-index:-251657216;mso-width-relative:page;mso-height-relative:page;" filled="f" stroked="f" coordsize="21600,21600" o:gfxdata="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EPg&#10;CHnYAAAADQEAAA8AAAAAAAAAAQAgAAAAIgAAAGRycy9kb3ducmV2LnhtbFBLAQIUABQAAAAIAIdO&#10;4kBoliLqsQEAAHQDAAAOAAAAAAAAAAEAIAAAACcBAABkcnMvZTJvRG9jLnhtbFBLBQYAAAAABgAG&#10;AFkBAAB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FD84718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  <w:lang w:val="ru-RU"/>
                      </w:rPr>
                      <w:t>Дата выпуска</w:t>
                    </w:r>
                    <w:r>
                      <w:rPr>
                        <w:sz w:val="20"/>
                      </w:rPr>
                      <w:t>: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</w:t>
                    </w:r>
                    <w:r>
                      <w:rPr>
                        <w:sz w:val="20"/>
                        <w:lang w:val="ru-RU"/>
                      </w:rPr>
                      <w:t>3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  <w:lang w:val="ru-RU"/>
                      </w:rPr>
                      <w:t xml:space="preserve">Августа </w:t>
                    </w:r>
                    <w:r>
                      <w:rPr>
                        <w:spacing w:val="-4"/>
                        <w:sz w:val="20"/>
                      </w:rPr>
                      <w:t>2026</w:t>
                    </w:r>
                  </w:p>
                  <w:p w14:paraId="272C58C3">
                    <w:pPr>
                      <w:spacing w:before="1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  <w:lang w:val="ru-RU"/>
                      </w:rPr>
                      <w:t>Версия</w:t>
                    </w:r>
                    <w:r>
                      <w:rPr>
                        <w:spacing w:val="-2"/>
                        <w:sz w:val="20"/>
                      </w:rPr>
                      <w:t>: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1.0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8DACC6">
    <w:pPr>
      <w:pStyle w:val="12"/>
      <w:spacing w:before="0"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1226185</wp:posOffset>
              </wp:positionH>
              <wp:positionV relativeFrom="page">
                <wp:posOffset>351155</wp:posOffset>
              </wp:positionV>
              <wp:extent cx="5837555" cy="459740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37555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DEA494">
                          <w:pPr>
                            <w:spacing w:before="1"/>
                            <w:ind w:right="18"/>
                            <w:jc w:val="center"/>
                            <w:rPr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b/>
                              <w:bCs/>
                              <w:sz w:val="20"/>
                            </w:rPr>
                            <w:t>GLOBAL ACCREDITATION COOPERATION INCORPORATED (Global ACI)</w:t>
                          </w:r>
                        </w:p>
                        <w:p w14:paraId="71244F7D">
                          <w:pPr>
                            <w:pStyle w:val="12"/>
                            <w:spacing w:before="0"/>
                            <w:ind w:left="0"/>
                            <w:jc w:val="center"/>
                            <w:rPr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b/>
                              <w:bCs/>
                              <w:sz w:val="20"/>
                            </w:rPr>
                            <w:t>ПЕРЕХОДНЫЕ ТРЕБОВАНИЯ ДЛЯ ISO/IEC 17024:2026</w:t>
                          </w:r>
                        </w:p>
                        <w:p w14:paraId="7364F0C7">
                          <w:pPr>
                            <w:spacing w:before="1"/>
                            <w:ind w:right="18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  <w:lang w:val="ru-RU"/>
                            </w:rPr>
                            <w:t>Лист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10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  <w:lang w:val="ru-RU"/>
                            </w:rPr>
                            <w:t>из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7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7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7"/>
                              <w:sz w:val="20"/>
                            </w:rPr>
                            <w:t>32</w:t>
                          </w:r>
                          <w:r>
                            <w:rPr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96.55pt;margin-top:27.65pt;height:36.2pt;width:459.65pt;mso-position-horizontal-relative:page;mso-position-vertical-relative:page;z-index:-251655168;mso-width-relative:page;mso-height-relative:page;" filled="f" stroked="f" coordsize="21600,21600" o:gfxdata="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fAjIs9oAAAALAQAADwAAAAAAAAABACAAAAAiAAAAZHJzL2Rvd25yZXYueG1sUEsBAhQAFAAA&#10;AAgAh07iQIVj2fC0AQAAdAMAAA4AAAAAAAAAAQAgAAAAKQ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2DEA494">
                    <w:pPr>
                      <w:spacing w:before="1"/>
                      <w:ind w:right="18"/>
                      <w:jc w:val="center"/>
                      <w:rPr>
                        <w:b/>
                        <w:bCs/>
                        <w:sz w:val="20"/>
                      </w:rPr>
                    </w:pPr>
                    <w:r>
                      <w:rPr>
                        <w:b/>
                        <w:bCs/>
                        <w:sz w:val="20"/>
                      </w:rPr>
                      <w:t>GLOBAL ACCREDITATION COOPERATION INCORPORATED (Global ACI)</w:t>
                    </w:r>
                  </w:p>
                  <w:p w14:paraId="71244F7D">
                    <w:pPr>
                      <w:pStyle w:val="12"/>
                      <w:spacing w:before="0"/>
                      <w:ind w:left="0"/>
                      <w:jc w:val="center"/>
                      <w:rPr>
                        <w:b/>
                        <w:bCs/>
                        <w:sz w:val="20"/>
                      </w:rPr>
                    </w:pPr>
                    <w:r>
                      <w:rPr>
                        <w:b/>
                        <w:bCs/>
                        <w:sz w:val="20"/>
                      </w:rPr>
                      <w:t>ПЕРЕХОДНЫЕ ТРЕБОВАНИЯ ДЛЯ ISO/IEC 17024:2026</w:t>
                    </w:r>
                  </w:p>
                  <w:p w14:paraId="7364F0C7">
                    <w:pPr>
                      <w:spacing w:before="1"/>
                      <w:ind w:right="18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  <w:lang w:val="ru-RU"/>
                      </w:rPr>
                      <w:t>Лист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10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  <w:lang w:val="ru-RU"/>
                      </w:rPr>
                      <w:t>из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pacing w:val="-7"/>
                        <w:sz w:val="20"/>
                      </w:rPr>
                      <w:fldChar w:fldCharType="begin"/>
                    </w:r>
                    <w:r>
                      <w:rPr>
                        <w:spacing w:val="-7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7"/>
                        <w:sz w:val="20"/>
                      </w:rPr>
                      <w:fldChar w:fldCharType="separate"/>
                    </w:r>
                    <w:r>
                      <w:rPr>
                        <w:spacing w:val="-7"/>
                        <w:sz w:val="20"/>
                      </w:rPr>
                      <w:t>32</w:t>
                    </w:r>
                    <w:r>
                      <w:rPr>
                        <w:spacing w:val="-7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AC2221"/>
    <w:multiLevelType w:val="multilevel"/>
    <w:tmpl w:val="2BAC222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34FC75DC"/>
    <w:multiLevelType w:val="multilevel"/>
    <w:tmpl w:val="34FC75D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4CCB5432"/>
    <w:multiLevelType w:val="multilevel"/>
    <w:tmpl w:val="4CCB543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5385684D"/>
    <w:multiLevelType w:val="multilevel"/>
    <w:tmpl w:val="5385684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719E082E"/>
    <w:multiLevelType w:val="multilevel"/>
    <w:tmpl w:val="719E082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7C7F7045"/>
    <w:multiLevelType w:val="multilevel"/>
    <w:tmpl w:val="7C7F704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F7133"/>
    <w:rsid w:val="000730C7"/>
    <w:rsid w:val="000758F4"/>
    <w:rsid w:val="000902E8"/>
    <w:rsid w:val="000B23F1"/>
    <w:rsid w:val="001242E2"/>
    <w:rsid w:val="00174CCF"/>
    <w:rsid w:val="001A2CAA"/>
    <w:rsid w:val="001B24D1"/>
    <w:rsid w:val="002054C0"/>
    <w:rsid w:val="00215C28"/>
    <w:rsid w:val="0023553B"/>
    <w:rsid w:val="002E1B8C"/>
    <w:rsid w:val="002F7133"/>
    <w:rsid w:val="00323B93"/>
    <w:rsid w:val="00342B5C"/>
    <w:rsid w:val="00354E8F"/>
    <w:rsid w:val="00371920"/>
    <w:rsid w:val="00374733"/>
    <w:rsid w:val="003C76AE"/>
    <w:rsid w:val="004524A2"/>
    <w:rsid w:val="004D44F1"/>
    <w:rsid w:val="004E55D8"/>
    <w:rsid w:val="005037A2"/>
    <w:rsid w:val="00515FED"/>
    <w:rsid w:val="005220D1"/>
    <w:rsid w:val="005225B3"/>
    <w:rsid w:val="00550D00"/>
    <w:rsid w:val="005974EB"/>
    <w:rsid w:val="005F0502"/>
    <w:rsid w:val="005F7BBE"/>
    <w:rsid w:val="00604CED"/>
    <w:rsid w:val="00607115"/>
    <w:rsid w:val="00643772"/>
    <w:rsid w:val="00656E0A"/>
    <w:rsid w:val="006B6E31"/>
    <w:rsid w:val="006C1881"/>
    <w:rsid w:val="006D44F7"/>
    <w:rsid w:val="00721E68"/>
    <w:rsid w:val="00731725"/>
    <w:rsid w:val="00754CB3"/>
    <w:rsid w:val="00765D6C"/>
    <w:rsid w:val="007707B7"/>
    <w:rsid w:val="007B2FBD"/>
    <w:rsid w:val="00823866"/>
    <w:rsid w:val="008411A7"/>
    <w:rsid w:val="008503EF"/>
    <w:rsid w:val="00860B95"/>
    <w:rsid w:val="00874D9F"/>
    <w:rsid w:val="008C2DA9"/>
    <w:rsid w:val="00910923"/>
    <w:rsid w:val="0095563B"/>
    <w:rsid w:val="00955809"/>
    <w:rsid w:val="00A73782"/>
    <w:rsid w:val="00AC63BC"/>
    <w:rsid w:val="00AC661F"/>
    <w:rsid w:val="00AE0C1E"/>
    <w:rsid w:val="00B13AAF"/>
    <w:rsid w:val="00B13EAD"/>
    <w:rsid w:val="00B857A1"/>
    <w:rsid w:val="00B86CA6"/>
    <w:rsid w:val="00B930E2"/>
    <w:rsid w:val="00B96DE2"/>
    <w:rsid w:val="00B97291"/>
    <w:rsid w:val="00C44EC2"/>
    <w:rsid w:val="00C661A8"/>
    <w:rsid w:val="00C668BF"/>
    <w:rsid w:val="00C67A59"/>
    <w:rsid w:val="00C72289"/>
    <w:rsid w:val="00CF28BC"/>
    <w:rsid w:val="00D03244"/>
    <w:rsid w:val="00D13D78"/>
    <w:rsid w:val="00D2275F"/>
    <w:rsid w:val="00D33368"/>
    <w:rsid w:val="00D46DD2"/>
    <w:rsid w:val="00D64CC5"/>
    <w:rsid w:val="00DE7505"/>
    <w:rsid w:val="00E002BA"/>
    <w:rsid w:val="00E16C7E"/>
    <w:rsid w:val="00E91DE3"/>
    <w:rsid w:val="00E95C0C"/>
    <w:rsid w:val="00EC28F6"/>
    <w:rsid w:val="00EC3E4C"/>
    <w:rsid w:val="00EF62DC"/>
    <w:rsid w:val="00F446B3"/>
    <w:rsid w:val="00F764F3"/>
    <w:rsid w:val="25013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1" w:semiHidden="0" w:name="toc 1"/>
    <w:lsdException w:qFormat="1" w:unhideWhenUsed="0" w:uiPriority="1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Arial MT" w:hAnsi="Arial MT" w:eastAsia="Arial MT" w:cs="Arial MT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9"/>
    <w:pPr>
      <w:spacing w:before="90"/>
      <w:ind w:left="52"/>
      <w:outlineLvl w:val="0"/>
    </w:pPr>
    <w:rPr>
      <w:rFonts w:ascii="Arial" w:hAnsi="Arial" w:eastAsia="Arial" w:cs="Arial"/>
      <w:b/>
      <w:bCs/>
      <w:sz w:val="28"/>
      <w:szCs w:val="28"/>
    </w:rPr>
  </w:style>
  <w:style w:type="paragraph" w:styleId="3">
    <w:name w:val="heading 2"/>
    <w:basedOn w:val="1"/>
    <w:unhideWhenUsed/>
    <w:qFormat/>
    <w:uiPriority w:val="9"/>
    <w:pPr>
      <w:spacing w:before="221"/>
      <w:ind w:left="619" w:hanging="567"/>
      <w:outlineLvl w:val="1"/>
    </w:pPr>
    <w:rPr>
      <w:rFonts w:ascii="Arial" w:hAnsi="Arial" w:eastAsia="Arial" w:cs="Arial"/>
      <w:b/>
      <w:bCs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Strong"/>
    <w:basedOn w:val="6"/>
    <w:qFormat/>
    <w:uiPriority w:val="22"/>
    <w:rPr>
      <w:b/>
      <w:bCs/>
    </w:rPr>
  </w:style>
  <w:style w:type="paragraph" w:styleId="11">
    <w:name w:val="header"/>
    <w:basedOn w:val="1"/>
    <w:link w:val="22"/>
    <w:unhideWhenUsed/>
    <w:qFormat/>
    <w:uiPriority w:val="99"/>
    <w:pPr>
      <w:tabs>
        <w:tab w:val="center" w:pos="4677"/>
        <w:tab w:val="right" w:pos="9355"/>
      </w:tabs>
    </w:pPr>
  </w:style>
  <w:style w:type="paragraph" w:styleId="12">
    <w:name w:val="Body Text"/>
    <w:basedOn w:val="1"/>
    <w:qFormat/>
    <w:uiPriority w:val="1"/>
    <w:pPr>
      <w:spacing w:before="220"/>
      <w:ind w:left="619"/>
    </w:pPr>
  </w:style>
  <w:style w:type="paragraph" w:styleId="13">
    <w:name w:val="toc 1"/>
    <w:basedOn w:val="1"/>
    <w:qFormat/>
    <w:uiPriority w:val="1"/>
    <w:pPr>
      <w:spacing w:before="138"/>
      <w:ind w:left="619" w:hanging="567"/>
    </w:pPr>
    <w:rPr>
      <w:rFonts w:ascii="Arial" w:hAnsi="Arial" w:eastAsia="Arial" w:cs="Arial"/>
      <w:b/>
      <w:bCs/>
    </w:rPr>
  </w:style>
  <w:style w:type="paragraph" w:styleId="14">
    <w:name w:val="toc 2"/>
    <w:basedOn w:val="1"/>
    <w:qFormat/>
    <w:uiPriority w:val="1"/>
    <w:pPr>
      <w:spacing w:before="100"/>
      <w:ind w:left="619" w:hanging="567"/>
    </w:pPr>
  </w:style>
  <w:style w:type="paragraph" w:styleId="15">
    <w:name w:val="Title"/>
    <w:basedOn w:val="1"/>
    <w:link w:val="26"/>
    <w:qFormat/>
    <w:uiPriority w:val="1"/>
    <w:pPr>
      <w:spacing w:before="77"/>
      <w:ind w:left="1147" w:right="504" w:hanging="853"/>
    </w:pPr>
    <w:rPr>
      <w:rFonts w:ascii="Times New Roman" w:hAnsi="Times New Roman" w:eastAsia="Times New Roman" w:cs="Times New Roman"/>
      <w:b/>
      <w:bCs/>
      <w:sz w:val="52"/>
      <w:szCs w:val="52"/>
    </w:rPr>
  </w:style>
  <w:style w:type="paragraph" w:styleId="16">
    <w:name w:val="footer"/>
    <w:basedOn w:val="1"/>
    <w:link w:val="23"/>
    <w:unhideWhenUsed/>
    <w:qFormat/>
    <w:uiPriority w:val="99"/>
    <w:pPr>
      <w:tabs>
        <w:tab w:val="center" w:pos="4677"/>
        <w:tab w:val="right" w:pos="9355"/>
      </w:tabs>
    </w:pPr>
  </w:style>
  <w:style w:type="paragraph" w:styleId="17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table" w:styleId="18">
    <w:name w:val="Table Grid"/>
    <w:basedOn w:val="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0">
    <w:name w:val="List Paragraph"/>
    <w:basedOn w:val="1"/>
    <w:qFormat/>
    <w:uiPriority w:val="1"/>
    <w:pPr>
      <w:spacing w:before="220"/>
      <w:ind w:left="619" w:hanging="567"/>
    </w:pPr>
    <w:rPr>
      <w:rFonts w:ascii="Arial" w:hAnsi="Arial" w:eastAsia="Arial" w:cs="Arial"/>
    </w:rPr>
  </w:style>
  <w:style w:type="paragraph" w:customStyle="1" w:styleId="21">
    <w:name w:val="Table Paragraph"/>
    <w:basedOn w:val="1"/>
    <w:qFormat/>
    <w:uiPriority w:val="1"/>
    <w:pPr>
      <w:ind w:left="107"/>
    </w:pPr>
  </w:style>
  <w:style w:type="character" w:customStyle="1" w:styleId="22">
    <w:name w:val="Верхний колонтитул Знак"/>
    <w:basedOn w:val="6"/>
    <w:link w:val="11"/>
    <w:qFormat/>
    <w:uiPriority w:val="99"/>
    <w:rPr>
      <w:rFonts w:ascii="Arial MT" w:hAnsi="Arial MT" w:eastAsia="Arial MT" w:cs="Arial MT"/>
    </w:rPr>
  </w:style>
  <w:style w:type="character" w:customStyle="1" w:styleId="23">
    <w:name w:val="Нижний колонтитул Знак"/>
    <w:basedOn w:val="6"/>
    <w:link w:val="16"/>
    <w:uiPriority w:val="99"/>
    <w:rPr>
      <w:rFonts w:ascii="Arial MT" w:hAnsi="Arial MT" w:eastAsia="Arial MT" w:cs="Arial MT"/>
    </w:rPr>
  </w:style>
  <w:style w:type="character" w:customStyle="1" w:styleId="24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5">
    <w:name w:val="Заголовок 3 Знак"/>
    <w:basedOn w:val="6"/>
    <w:link w:val="4"/>
    <w:semiHidden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customStyle="1" w:styleId="26">
    <w:name w:val="Заголовок Знак"/>
    <w:basedOn w:val="6"/>
    <w:link w:val="15"/>
    <w:uiPriority w:val="1"/>
    <w:rPr>
      <w:rFonts w:ascii="Times New Roman" w:hAnsi="Times New Roman" w:eastAsia="Times New Roman" w:cs="Times New Roman"/>
      <w:b/>
      <w:bCs/>
      <w:sz w:val="52"/>
      <w:szCs w:val="52"/>
    </w:rPr>
  </w:style>
  <w:style w:type="character" w:customStyle="1" w:styleId="27">
    <w:name w:val="Заголовок 4 Знак"/>
    <w:basedOn w:val="6"/>
    <w:link w:val="5"/>
    <w:semiHidden/>
    <w:uiPriority w:val="9"/>
    <w:rPr>
      <w:rFonts w:asciiTheme="majorHAnsi" w:hAnsiTheme="majorHAnsi" w:eastAsiaTheme="majorEastAsia" w:cstheme="majorBidi"/>
      <w:i/>
      <w:iCs/>
      <w:color w:val="376092" w:themeColor="accent1" w:themeShade="BF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1272</Words>
  <Characters>9557</Characters>
  <Lines>101</Lines>
  <Paragraphs>28</Paragraphs>
  <TotalTime>4</TotalTime>
  <ScaleCrop>false</ScaleCrop>
  <LinksUpToDate>false</LinksUpToDate>
  <CharactersWithSpaces>10702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2026-09-16T05:38:00Z</dcterms:created>
  <dc:creator>Author</dc:creator>
  <cp:lastModifiedBy>b.gulmira</cp:lastModifiedBy>
  <dcterms:modified xsi:type="dcterms:W3CDTF">2026-10-05T12:24:38Z</dcterms:modified>
  <cp:revision>111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2026-06-26T00:00:00Z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2026-09-16T00:00:00Z</vt:filetime>
  </property>
  <property fmtid="{D5CDD505-2E9C-101B-9397-08002B2CF9AE}" pid="6" name="MSIP_Label_defa4170-0d19-0005-0004-bc88714345d2_ActionId">
    <vt:lpwstr>ec9401c4-39a9-42f8-ba82-45802c42cfc8</vt:lpwstr>
  </property>
  <property fmtid="{D5CDD505-2E9C-101B-9397-08002B2CF9AE}" pid="7" name="MSIP_Label_defa4170-0d19-0005-0004-bc88714345d2_ContentBits">
    <vt:lpwstr>0</vt:lpwstr>
  </property>
  <property fmtid="{D5CDD505-2E9C-101B-9397-08002B2CF9AE}" pid="8" name="MSIP_Label_defa4170-0d19-0005-0004-bc88714345d2_Enabled">
    <vt:lpwstr>true</vt:lpwstr>
  </property>
  <property fmtid="{D5CDD505-2E9C-101B-9397-08002B2CF9AE}" pid="9" name="MSIP_Label_defa4170-0d19-0005-0004-bc88714345d2_Method">
    <vt:lpwstr>Standard</vt:lpwstr>
  </property>
  <property fmtid="{D5CDD505-2E9C-101B-9397-08002B2CF9AE}" pid="10" name="MSIP_Label_defa4170-0d19-0005-0004-bc88714345d2_Name">
    <vt:lpwstr>defa4170-0d19-0005-0004-bc88714345d2</vt:lpwstr>
  </property>
  <property fmtid="{D5CDD505-2E9C-101B-9397-08002B2CF9AE}" pid="11" name="MSIP_Label_defa4170-0d19-0005-0004-bc88714345d2_SetDate">
    <vt:lpwstr>2026-05-04T01:50:16Z</vt:lpwstr>
  </property>
  <property fmtid="{D5CDD505-2E9C-101B-9397-08002B2CF9AE}" pid="12" name="MSIP_Label_defa4170-0d19-0005-0004-bc88714345d2_SiteId">
    <vt:lpwstr>91e352c8-e964-4d5b-8f9d-3718b756ea5e</vt:lpwstr>
  </property>
  <property fmtid="{D5CDD505-2E9C-101B-9397-08002B2CF9AE}" pid="13" name="MSIP_Label_defa4170-0d19-0005-0004-bc88714345d2_Tag">
    <vt:lpwstr>10, 3, 0, 1</vt:lpwstr>
  </property>
  <property fmtid="{D5CDD505-2E9C-101B-9397-08002B2CF9AE}" pid="14" name="Producer">
    <vt:lpwstr>Microsoft® Word for Microsoft 365</vt:lpwstr>
  </property>
  <property fmtid="{D5CDD505-2E9C-101B-9397-08002B2CF9AE}" pid="15" name="KSOTemplateDocerSaveRecord">
    <vt:lpwstr>eyJoZGlkIjoiOWIyMWY5YjE0M2UyZDIzMWQ1MzNjODFiODE0ODFjOTQifQ==</vt:lpwstr>
  </property>
  <property fmtid="{D5CDD505-2E9C-101B-9397-08002B2CF9AE}" pid="16" name="KSOProductBuildVer">
    <vt:lpwstr>1049-12.1.0.28485</vt:lpwstr>
  </property>
  <property fmtid="{D5CDD505-2E9C-101B-9397-08002B2CF9AE}" pid="17" name="ICV">
    <vt:lpwstr>378EE4E58B01493288D52B8A1EBD9BCD_12</vt:lpwstr>
  </property>
</Properties>
</file>